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7B13" w14:textId="77777777" w:rsidR="00196438" w:rsidRDefault="00196438" w:rsidP="008C3E35">
      <w:pPr>
        <w:spacing w:after="0"/>
        <w:jc w:val="center"/>
        <w:rPr>
          <w:rFonts w:ascii="Open Sans" w:hAnsi="Open Sans" w:cs="Open Sans"/>
          <w:b/>
          <w:sz w:val="18"/>
          <w:szCs w:val="18"/>
        </w:rPr>
      </w:pPr>
    </w:p>
    <w:p w14:paraId="7CC85328" w14:textId="6506EC92" w:rsidR="005D254A" w:rsidRPr="00196438" w:rsidRDefault="002456A0" w:rsidP="008C3E35">
      <w:pPr>
        <w:spacing w:after="0"/>
        <w:jc w:val="center"/>
        <w:rPr>
          <w:rFonts w:ascii="Open Sans" w:hAnsi="Open Sans" w:cs="Open Sans"/>
          <w:b/>
          <w:sz w:val="18"/>
          <w:szCs w:val="18"/>
        </w:rPr>
      </w:pPr>
      <w:r w:rsidRPr="00196438">
        <w:rPr>
          <w:rFonts w:ascii="Open Sans" w:hAnsi="Open Sans" w:cs="Open Sans"/>
          <w:b/>
          <w:sz w:val="18"/>
          <w:szCs w:val="18"/>
        </w:rPr>
        <w:t xml:space="preserve">Prečo rozsudok </w:t>
      </w:r>
      <w:r w:rsidR="000025EA" w:rsidRPr="00196438">
        <w:rPr>
          <w:rFonts w:ascii="Open Sans" w:hAnsi="Open Sans" w:cs="Open Sans"/>
          <w:b/>
          <w:sz w:val="18"/>
          <w:szCs w:val="18"/>
        </w:rPr>
        <w:t xml:space="preserve">Súdneho dvora Európskej únie </w:t>
      </w:r>
      <w:r w:rsidRPr="00196438">
        <w:rPr>
          <w:rFonts w:ascii="Open Sans" w:hAnsi="Open Sans" w:cs="Open Sans"/>
          <w:b/>
          <w:sz w:val="18"/>
          <w:szCs w:val="18"/>
        </w:rPr>
        <w:t xml:space="preserve">vo veci Home Credit Slovakia, </w:t>
      </w:r>
      <w:proofErr w:type="spellStart"/>
      <w:r w:rsidRPr="00196438">
        <w:rPr>
          <w:rFonts w:ascii="Open Sans" w:hAnsi="Open Sans" w:cs="Open Sans"/>
          <w:b/>
          <w:sz w:val="18"/>
          <w:szCs w:val="18"/>
        </w:rPr>
        <w:t>a.s</w:t>
      </w:r>
      <w:proofErr w:type="spellEnd"/>
      <w:r w:rsidRPr="00196438">
        <w:rPr>
          <w:rFonts w:ascii="Open Sans" w:hAnsi="Open Sans" w:cs="Open Sans"/>
          <w:b/>
          <w:sz w:val="18"/>
          <w:szCs w:val="18"/>
        </w:rPr>
        <w:t xml:space="preserve">., proti Kláre </w:t>
      </w:r>
      <w:proofErr w:type="spellStart"/>
      <w:r w:rsidRPr="00196438">
        <w:rPr>
          <w:rFonts w:ascii="Open Sans" w:hAnsi="Open Sans" w:cs="Open Sans"/>
          <w:b/>
          <w:sz w:val="18"/>
          <w:szCs w:val="18"/>
        </w:rPr>
        <w:t>Bíróovej</w:t>
      </w:r>
      <w:proofErr w:type="spellEnd"/>
      <w:r w:rsidRPr="00196438">
        <w:rPr>
          <w:rFonts w:ascii="Open Sans" w:hAnsi="Open Sans" w:cs="Open Sans"/>
          <w:b/>
          <w:sz w:val="18"/>
          <w:szCs w:val="18"/>
        </w:rPr>
        <w:t xml:space="preserve"> nie je spôsobilý zmeniť doterajšiu rozhodovaciu prax všeobecných súdov</w:t>
      </w:r>
      <w:r w:rsidR="00813CB8" w:rsidRPr="00196438">
        <w:rPr>
          <w:rFonts w:ascii="Open Sans" w:hAnsi="Open Sans" w:cs="Open Sans"/>
          <w:b/>
          <w:sz w:val="18"/>
          <w:szCs w:val="18"/>
        </w:rPr>
        <w:t xml:space="preserve"> SR</w:t>
      </w:r>
    </w:p>
    <w:p w14:paraId="7CC85329" w14:textId="77777777" w:rsidR="002456A0" w:rsidRPr="00196438" w:rsidRDefault="002456A0" w:rsidP="002456A0">
      <w:pPr>
        <w:spacing w:after="0"/>
        <w:jc w:val="both"/>
        <w:rPr>
          <w:rFonts w:ascii="Open Sans" w:hAnsi="Open Sans" w:cs="Open Sans"/>
          <w:sz w:val="18"/>
          <w:szCs w:val="18"/>
        </w:rPr>
      </w:pPr>
    </w:p>
    <w:p w14:paraId="7CC8532A" w14:textId="77777777" w:rsidR="00751FF6" w:rsidRPr="00196438" w:rsidRDefault="00751FF6" w:rsidP="001A1808">
      <w:pPr>
        <w:spacing w:after="0"/>
        <w:jc w:val="both"/>
        <w:rPr>
          <w:rFonts w:ascii="Open Sans" w:hAnsi="Open Sans" w:cs="Open Sans"/>
          <w:b/>
          <w:sz w:val="18"/>
          <w:szCs w:val="18"/>
        </w:rPr>
      </w:pPr>
    </w:p>
    <w:p w14:paraId="7CC8532B" w14:textId="77777777" w:rsidR="001A1808" w:rsidRPr="00196438" w:rsidRDefault="001A1808" w:rsidP="001A1808">
      <w:pPr>
        <w:spacing w:after="0"/>
        <w:jc w:val="both"/>
        <w:rPr>
          <w:rFonts w:ascii="Open Sans" w:hAnsi="Open Sans" w:cs="Open Sans"/>
          <w:b/>
          <w:sz w:val="18"/>
          <w:szCs w:val="18"/>
        </w:rPr>
      </w:pPr>
      <w:r w:rsidRPr="00196438">
        <w:rPr>
          <w:rFonts w:ascii="Open Sans" w:hAnsi="Open Sans" w:cs="Open Sans"/>
          <w:b/>
          <w:sz w:val="18"/>
          <w:szCs w:val="18"/>
        </w:rPr>
        <w:t xml:space="preserve">Pri konflikte smernice a vnútroštátneho zákona práva členského štátu musia vnútroštátne súdy v prvom rade skúmať, či môžu smernici priznať priamy účinok. </w:t>
      </w:r>
      <w:r w:rsidR="002F0A8B" w:rsidRPr="00196438">
        <w:rPr>
          <w:rFonts w:ascii="Open Sans" w:hAnsi="Open Sans" w:cs="Open Sans"/>
          <w:b/>
          <w:sz w:val="18"/>
          <w:szCs w:val="18"/>
        </w:rPr>
        <w:t>Nakoľko v sporoch medzi jednotlivcami je p</w:t>
      </w:r>
      <w:r w:rsidRPr="00196438">
        <w:rPr>
          <w:rFonts w:ascii="Open Sans" w:hAnsi="Open Sans" w:cs="Open Sans"/>
          <w:b/>
          <w:sz w:val="18"/>
          <w:szCs w:val="18"/>
        </w:rPr>
        <w:t xml:space="preserve">riamy účinok smernice </w:t>
      </w:r>
      <w:r w:rsidR="002F0A8B" w:rsidRPr="00196438">
        <w:rPr>
          <w:rFonts w:ascii="Open Sans" w:hAnsi="Open Sans" w:cs="Open Sans"/>
          <w:b/>
          <w:sz w:val="18"/>
          <w:szCs w:val="18"/>
        </w:rPr>
        <w:t>v zásade vylúčený, v</w:t>
      </w:r>
      <w:r w:rsidRPr="00196438">
        <w:rPr>
          <w:rFonts w:ascii="Open Sans" w:hAnsi="Open Sans" w:cs="Open Sans"/>
          <w:b/>
          <w:sz w:val="18"/>
          <w:szCs w:val="18"/>
        </w:rPr>
        <w:t xml:space="preserve">nútroštátne súdy musia skúmať, či môžu smernici priznať </w:t>
      </w:r>
      <w:r w:rsidR="002F0A8B" w:rsidRPr="00196438">
        <w:rPr>
          <w:rFonts w:ascii="Open Sans" w:hAnsi="Open Sans" w:cs="Open Sans"/>
          <w:b/>
          <w:sz w:val="18"/>
          <w:szCs w:val="18"/>
        </w:rPr>
        <w:t xml:space="preserve">aspoň </w:t>
      </w:r>
      <w:r w:rsidRPr="00196438">
        <w:rPr>
          <w:rFonts w:ascii="Open Sans" w:hAnsi="Open Sans" w:cs="Open Sans"/>
          <w:b/>
          <w:sz w:val="18"/>
          <w:szCs w:val="18"/>
        </w:rPr>
        <w:t xml:space="preserve">účinok nepriamy, teda či môžu zákon vykladať </w:t>
      </w:r>
      <w:proofErr w:type="spellStart"/>
      <w:r w:rsidRPr="00196438">
        <w:rPr>
          <w:rFonts w:ascii="Open Sans" w:hAnsi="Open Sans" w:cs="Open Sans"/>
          <w:b/>
          <w:sz w:val="18"/>
          <w:szCs w:val="18"/>
        </w:rPr>
        <w:t>eurokonformne</w:t>
      </w:r>
      <w:proofErr w:type="spellEnd"/>
      <w:r w:rsidRPr="00196438">
        <w:rPr>
          <w:rFonts w:ascii="Open Sans" w:hAnsi="Open Sans" w:cs="Open Sans"/>
          <w:b/>
          <w:sz w:val="18"/>
          <w:szCs w:val="18"/>
        </w:rPr>
        <w:t xml:space="preserve">. Tento nepriamy účinok smernice a teda </w:t>
      </w:r>
      <w:proofErr w:type="spellStart"/>
      <w:r w:rsidRPr="00196438">
        <w:rPr>
          <w:rFonts w:ascii="Open Sans" w:hAnsi="Open Sans" w:cs="Open Sans"/>
          <w:b/>
          <w:sz w:val="18"/>
          <w:szCs w:val="18"/>
        </w:rPr>
        <w:t>eurokonformný</w:t>
      </w:r>
      <w:proofErr w:type="spellEnd"/>
      <w:r w:rsidRPr="00196438">
        <w:rPr>
          <w:rFonts w:ascii="Open Sans" w:hAnsi="Open Sans" w:cs="Open Sans"/>
          <w:b/>
          <w:sz w:val="18"/>
          <w:szCs w:val="18"/>
        </w:rPr>
        <w:t xml:space="preserve"> výklad zákon však nie je absolútny, pretože takýto výklad nemôže nahradiť výslovné znenie zákona, pretože by sa jednalo o výklad </w:t>
      </w:r>
      <w:proofErr w:type="spellStart"/>
      <w:r w:rsidRPr="00196438">
        <w:rPr>
          <w:rFonts w:ascii="Open Sans" w:hAnsi="Open Sans" w:cs="Open Sans"/>
          <w:b/>
          <w:i/>
          <w:sz w:val="18"/>
          <w:szCs w:val="18"/>
        </w:rPr>
        <w:t>contra</w:t>
      </w:r>
      <w:proofErr w:type="spellEnd"/>
      <w:r w:rsidRPr="00196438">
        <w:rPr>
          <w:rFonts w:ascii="Open Sans" w:hAnsi="Open Sans" w:cs="Open Sans"/>
          <w:b/>
          <w:i/>
          <w:sz w:val="18"/>
          <w:szCs w:val="18"/>
        </w:rPr>
        <w:t xml:space="preserve"> </w:t>
      </w:r>
      <w:proofErr w:type="spellStart"/>
      <w:r w:rsidRPr="00196438">
        <w:rPr>
          <w:rFonts w:ascii="Open Sans" w:hAnsi="Open Sans" w:cs="Open Sans"/>
          <w:b/>
          <w:i/>
          <w:sz w:val="18"/>
          <w:szCs w:val="18"/>
        </w:rPr>
        <w:t>legem</w:t>
      </w:r>
      <w:proofErr w:type="spellEnd"/>
      <w:r w:rsidRPr="00196438">
        <w:rPr>
          <w:rFonts w:ascii="Open Sans" w:hAnsi="Open Sans" w:cs="Open Sans"/>
          <w:b/>
          <w:sz w:val="18"/>
          <w:szCs w:val="18"/>
        </w:rPr>
        <w:t>.</w:t>
      </w:r>
    </w:p>
    <w:p w14:paraId="7CC8532C" w14:textId="77777777" w:rsidR="001A1808" w:rsidRPr="00196438" w:rsidRDefault="001A1808" w:rsidP="002456A0">
      <w:pPr>
        <w:spacing w:after="0"/>
        <w:jc w:val="both"/>
        <w:rPr>
          <w:rFonts w:ascii="Open Sans" w:hAnsi="Open Sans" w:cs="Open Sans"/>
          <w:sz w:val="18"/>
          <w:szCs w:val="18"/>
        </w:rPr>
      </w:pPr>
    </w:p>
    <w:p w14:paraId="7CC8532D" w14:textId="77777777" w:rsidR="008C3E35" w:rsidRPr="00196438" w:rsidRDefault="008C3E35" w:rsidP="008C3E35">
      <w:pPr>
        <w:pStyle w:val="Odsekzoznamu"/>
        <w:numPr>
          <w:ilvl w:val="0"/>
          <w:numId w:val="3"/>
        </w:numPr>
        <w:spacing w:after="0"/>
        <w:ind w:left="284" w:hanging="284"/>
        <w:jc w:val="both"/>
        <w:rPr>
          <w:rFonts w:ascii="Open Sans" w:hAnsi="Open Sans" w:cs="Open Sans"/>
          <w:b/>
          <w:sz w:val="18"/>
          <w:szCs w:val="18"/>
        </w:rPr>
      </w:pPr>
      <w:r w:rsidRPr="00196438">
        <w:rPr>
          <w:rFonts w:ascii="Open Sans" w:hAnsi="Open Sans" w:cs="Open Sans"/>
          <w:b/>
          <w:sz w:val="18"/>
          <w:szCs w:val="18"/>
        </w:rPr>
        <w:t>Úvod</w:t>
      </w:r>
    </w:p>
    <w:p w14:paraId="7CC8532E" w14:textId="77777777" w:rsidR="008C3E35" w:rsidRPr="00196438" w:rsidRDefault="008C3E35" w:rsidP="000025EA">
      <w:pPr>
        <w:spacing w:after="0"/>
        <w:jc w:val="both"/>
        <w:rPr>
          <w:rFonts w:ascii="Open Sans" w:hAnsi="Open Sans" w:cs="Open Sans"/>
          <w:sz w:val="18"/>
          <w:szCs w:val="18"/>
        </w:rPr>
      </w:pPr>
    </w:p>
    <w:p w14:paraId="7CC8532F" w14:textId="77777777" w:rsidR="002456A0" w:rsidRPr="00196438" w:rsidRDefault="00F17776" w:rsidP="000025EA">
      <w:pPr>
        <w:spacing w:after="0"/>
        <w:jc w:val="both"/>
        <w:rPr>
          <w:rFonts w:ascii="Open Sans" w:hAnsi="Open Sans" w:cs="Open Sans"/>
          <w:sz w:val="18"/>
          <w:szCs w:val="18"/>
        </w:rPr>
      </w:pPr>
      <w:r w:rsidRPr="00196438">
        <w:rPr>
          <w:rFonts w:ascii="Open Sans" w:hAnsi="Open Sans" w:cs="Open Sans"/>
          <w:sz w:val="18"/>
          <w:szCs w:val="18"/>
        </w:rPr>
        <w:t xml:space="preserve">Dňa 9. novembra 2016 vydal Súdny dvor Európskej únie rozsudok </w:t>
      </w:r>
      <w:r w:rsidR="000025EA" w:rsidRPr="00196438">
        <w:rPr>
          <w:rFonts w:ascii="Open Sans" w:hAnsi="Open Sans" w:cs="Open Sans"/>
          <w:sz w:val="18"/>
          <w:szCs w:val="18"/>
        </w:rPr>
        <w:t>vo veci C</w:t>
      </w:r>
      <w:r w:rsidR="000025EA" w:rsidRPr="00196438">
        <w:rPr>
          <w:rFonts w:ascii="Cambria Math" w:hAnsi="Cambria Math" w:cs="Cambria Math"/>
          <w:sz w:val="18"/>
          <w:szCs w:val="18"/>
        </w:rPr>
        <w:t>‑</w:t>
      </w:r>
      <w:r w:rsidR="000025EA" w:rsidRPr="00196438">
        <w:rPr>
          <w:rFonts w:ascii="Open Sans" w:hAnsi="Open Sans" w:cs="Open Sans"/>
          <w:sz w:val="18"/>
          <w:szCs w:val="18"/>
        </w:rPr>
        <w:t xml:space="preserve">42/15, predmetom </w:t>
      </w:r>
      <w:r w:rsidR="0005729C" w:rsidRPr="00196438">
        <w:rPr>
          <w:rFonts w:ascii="Open Sans" w:hAnsi="Open Sans" w:cs="Open Sans"/>
          <w:sz w:val="18"/>
          <w:szCs w:val="18"/>
        </w:rPr>
        <w:t xml:space="preserve">ktorej </w:t>
      </w:r>
      <w:r w:rsidRPr="00196438">
        <w:rPr>
          <w:rFonts w:ascii="Open Sans" w:hAnsi="Open Sans" w:cs="Open Sans"/>
          <w:sz w:val="18"/>
          <w:szCs w:val="18"/>
        </w:rPr>
        <w:t>bol</w:t>
      </w:r>
      <w:r w:rsidR="0005729C" w:rsidRPr="00196438">
        <w:rPr>
          <w:rFonts w:ascii="Open Sans" w:hAnsi="Open Sans" w:cs="Open Sans"/>
          <w:sz w:val="18"/>
          <w:szCs w:val="18"/>
        </w:rPr>
        <w:t>o</w:t>
      </w:r>
      <w:r w:rsidRPr="00196438">
        <w:rPr>
          <w:rFonts w:ascii="Open Sans" w:hAnsi="Open Sans" w:cs="Open Sans"/>
          <w:sz w:val="18"/>
          <w:szCs w:val="18"/>
        </w:rPr>
        <w:t xml:space="preserve"> </w:t>
      </w:r>
      <w:r w:rsidR="0005729C" w:rsidRPr="00196438">
        <w:rPr>
          <w:rFonts w:ascii="Open Sans" w:hAnsi="Open Sans" w:cs="Open Sans"/>
          <w:sz w:val="18"/>
          <w:szCs w:val="18"/>
        </w:rPr>
        <w:t>prejudiciálne konanie</w:t>
      </w:r>
      <w:r w:rsidR="000025EA" w:rsidRPr="00196438">
        <w:rPr>
          <w:rFonts w:ascii="Open Sans" w:hAnsi="Open Sans" w:cs="Open Sans"/>
          <w:sz w:val="18"/>
          <w:szCs w:val="18"/>
        </w:rPr>
        <w:t xml:space="preserve"> podľa článku 267 ZFEÚ</w:t>
      </w:r>
      <w:r w:rsidR="0005729C" w:rsidRPr="00196438">
        <w:rPr>
          <w:rFonts w:ascii="Open Sans" w:hAnsi="Open Sans" w:cs="Open Sans"/>
          <w:sz w:val="18"/>
          <w:szCs w:val="18"/>
        </w:rPr>
        <w:t xml:space="preserve"> iniciované </w:t>
      </w:r>
      <w:r w:rsidR="000025EA" w:rsidRPr="00196438">
        <w:rPr>
          <w:rFonts w:ascii="Open Sans" w:hAnsi="Open Sans" w:cs="Open Sans"/>
          <w:sz w:val="18"/>
          <w:szCs w:val="18"/>
        </w:rPr>
        <w:t>Okresný</w:t>
      </w:r>
      <w:r w:rsidR="0005729C" w:rsidRPr="00196438">
        <w:rPr>
          <w:rFonts w:ascii="Open Sans" w:hAnsi="Open Sans" w:cs="Open Sans"/>
          <w:sz w:val="18"/>
          <w:szCs w:val="18"/>
        </w:rPr>
        <w:t>m</w:t>
      </w:r>
      <w:r w:rsidR="000025EA" w:rsidRPr="00196438">
        <w:rPr>
          <w:rFonts w:ascii="Open Sans" w:hAnsi="Open Sans" w:cs="Open Sans"/>
          <w:sz w:val="18"/>
          <w:szCs w:val="18"/>
        </w:rPr>
        <w:t xml:space="preserve"> súd</w:t>
      </w:r>
      <w:r w:rsidR="0005729C" w:rsidRPr="00196438">
        <w:rPr>
          <w:rFonts w:ascii="Open Sans" w:hAnsi="Open Sans" w:cs="Open Sans"/>
          <w:sz w:val="18"/>
          <w:szCs w:val="18"/>
        </w:rPr>
        <w:t>om</w:t>
      </w:r>
      <w:r w:rsidR="000025EA" w:rsidRPr="00196438">
        <w:rPr>
          <w:rFonts w:ascii="Open Sans" w:hAnsi="Open Sans" w:cs="Open Sans"/>
          <w:sz w:val="18"/>
          <w:szCs w:val="18"/>
        </w:rPr>
        <w:t xml:space="preserve"> Dunajská Streda </w:t>
      </w:r>
      <w:r w:rsidR="0005729C" w:rsidRPr="00196438">
        <w:rPr>
          <w:rFonts w:ascii="Open Sans" w:hAnsi="Open Sans" w:cs="Open Sans"/>
          <w:sz w:val="18"/>
          <w:szCs w:val="18"/>
        </w:rPr>
        <w:t xml:space="preserve">v súvislosti s vnútroštátnym konaním </w:t>
      </w:r>
      <w:r w:rsidR="000025EA" w:rsidRPr="00196438">
        <w:rPr>
          <w:rFonts w:ascii="Open Sans" w:hAnsi="Open Sans" w:cs="Open Sans"/>
          <w:sz w:val="18"/>
          <w:szCs w:val="18"/>
        </w:rPr>
        <w:t>v</w:t>
      </w:r>
      <w:r w:rsidR="0005729C" w:rsidRPr="00196438">
        <w:rPr>
          <w:rFonts w:ascii="Open Sans" w:hAnsi="Open Sans" w:cs="Open Sans"/>
          <w:sz w:val="18"/>
          <w:szCs w:val="18"/>
        </w:rPr>
        <w:t>edený</w:t>
      </w:r>
      <w:r w:rsidR="000025EA" w:rsidRPr="00196438">
        <w:rPr>
          <w:rFonts w:ascii="Open Sans" w:hAnsi="Open Sans" w:cs="Open Sans"/>
          <w:sz w:val="18"/>
          <w:szCs w:val="18"/>
        </w:rPr>
        <w:t xml:space="preserve">m </w:t>
      </w:r>
      <w:r w:rsidR="0005729C" w:rsidRPr="00196438">
        <w:rPr>
          <w:rFonts w:ascii="Open Sans" w:hAnsi="Open Sans" w:cs="Open Sans"/>
          <w:sz w:val="18"/>
          <w:szCs w:val="18"/>
        </w:rPr>
        <w:t xml:space="preserve">týmto súdom </w:t>
      </w:r>
      <w:r w:rsidRPr="00196438">
        <w:rPr>
          <w:rFonts w:ascii="Open Sans" w:hAnsi="Open Sans" w:cs="Open Sans"/>
          <w:sz w:val="18"/>
          <w:szCs w:val="18"/>
        </w:rPr>
        <w:t xml:space="preserve">vo veci </w:t>
      </w:r>
      <w:r w:rsidR="000025EA" w:rsidRPr="00196438">
        <w:rPr>
          <w:rFonts w:ascii="Open Sans" w:hAnsi="Open Sans" w:cs="Open Sans"/>
          <w:sz w:val="18"/>
          <w:szCs w:val="18"/>
        </w:rPr>
        <w:t xml:space="preserve">Home Credit Slovakia, </w:t>
      </w:r>
      <w:proofErr w:type="spellStart"/>
      <w:r w:rsidR="000025EA" w:rsidRPr="00196438">
        <w:rPr>
          <w:rFonts w:ascii="Open Sans" w:hAnsi="Open Sans" w:cs="Open Sans"/>
          <w:sz w:val="18"/>
          <w:szCs w:val="18"/>
        </w:rPr>
        <w:t>a.s</w:t>
      </w:r>
      <w:proofErr w:type="spellEnd"/>
      <w:r w:rsidR="000025EA" w:rsidRPr="00196438">
        <w:rPr>
          <w:rFonts w:ascii="Open Sans" w:hAnsi="Open Sans" w:cs="Open Sans"/>
          <w:sz w:val="18"/>
          <w:szCs w:val="18"/>
        </w:rPr>
        <w:t>.,</w:t>
      </w:r>
      <w:r w:rsidRPr="00196438">
        <w:rPr>
          <w:rFonts w:ascii="Open Sans" w:hAnsi="Open Sans" w:cs="Open Sans"/>
          <w:sz w:val="18"/>
          <w:szCs w:val="18"/>
        </w:rPr>
        <w:t xml:space="preserve"> </w:t>
      </w:r>
      <w:r w:rsidR="000025EA" w:rsidRPr="00196438">
        <w:rPr>
          <w:rFonts w:ascii="Open Sans" w:hAnsi="Open Sans" w:cs="Open Sans"/>
          <w:sz w:val="18"/>
          <w:szCs w:val="18"/>
        </w:rPr>
        <w:t>proti</w:t>
      </w:r>
      <w:r w:rsidRPr="00196438">
        <w:rPr>
          <w:rFonts w:ascii="Open Sans" w:hAnsi="Open Sans" w:cs="Open Sans"/>
          <w:sz w:val="18"/>
          <w:szCs w:val="18"/>
        </w:rPr>
        <w:t xml:space="preserve"> </w:t>
      </w:r>
      <w:r w:rsidR="000025EA" w:rsidRPr="00196438">
        <w:rPr>
          <w:rFonts w:ascii="Open Sans" w:hAnsi="Open Sans" w:cs="Open Sans"/>
          <w:sz w:val="18"/>
          <w:szCs w:val="18"/>
        </w:rPr>
        <w:t xml:space="preserve">Kláre </w:t>
      </w:r>
      <w:proofErr w:type="spellStart"/>
      <w:r w:rsidR="000025EA" w:rsidRPr="00196438">
        <w:rPr>
          <w:rFonts w:ascii="Open Sans" w:hAnsi="Open Sans" w:cs="Open Sans"/>
          <w:sz w:val="18"/>
          <w:szCs w:val="18"/>
        </w:rPr>
        <w:t>Bíróovej</w:t>
      </w:r>
      <w:proofErr w:type="spellEnd"/>
      <w:r w:rsidR="0008305D" w:rsidRPr="00196438">
        <w:rPr>
          <w:rFonts w:ascii="Open Sans" w:hAnsi="Open Sans" w:cs="Open Sans"/>
          <w:sz w:val="18"/>
          <w:szCs w:val="18"/>
        </w:rPr>
        <w:t xml:space="preserve"> (ďalej len "</w:t>
      </w:r>
      <w:r w:rsidR="0008305D" w:rsidRPr="00196438">
        <w:rPr>
          <w:rFonts w:ascii="Open Sans" w:hAnsi="Open Sans" w:cs="Open Sans"/>
          <w:b/>
          <w:sz w:val="18"/>
          <w:szCs w:val="18"/>
        </w:rPr>
        <w:t>Rozsudok</w:t>
      </w:r>
      <w:r w:rsidR="0008305D" w:rsidRPr="00196438">
        <w:rPr>
          <w:rFonts w:ascii="Open Sans" w:hAnsi="Open Sans" w:cs="Open Sans"/>
          <w:sz w:val="18"/>
          <w:szCs w:val="18"/>
        </w:rPr>
        <w:t>")</w:t>
      </w:r>
      <w:r w:rsidRPr="00196438">
        <w:rPr>
          <w:rFonts w:ascii="Open Sans" w:hAnsi="Open Sans" w:cs="Open Sans"/>
          <w:sz w:val="18"/>
          <w:szCs w:val="18"/>
        </w:rPr>
        <w:t>.</w:t>
      </w:r>
    </w:p>
    <w:p w14:paraId="7CC85330" w14:textId="77777777" w:rsidR="004D7CB3" w:rsidRPr="00196438" w:rsidRDefault="004D7CB3" w:rsidP="000025EA">
      <w:pPr>
        <w:spacing w:after="0"/>
        <w:jc w:val="both"/>
        <w:rPr>
          <w:rFonts w:ascii="Open Sans" w:hAnsi="Open Sans" w:cs="Open Sans"/>
          <w:sz w:val="18"/>
          <w:szCs w:val="18"/>
        </w:rPr>
      </w:pPr>
    </w:p>
    <w:p w14:paraId="7CC85331" w14:textId="77777777" w:rsidR="004D7CB3" w:rsidRPr="00196438" w:rsidRDefault="004D7CB3" w:rsidP="000025EA">
      <w:pPr>
        <w:spacing w:after="0"/>
        <w:jc w:val="both"/>
        <w:rPr>
          <w:rFonts w:ascii="Open Sans" w:hAnsi="Open Sans" w:cs="Open Sans"/>
          <w:sz w:val="18"/>
          <w:szCs w:val="18"/>
        </w:rPr>
      </w:pPr>
      <w:r w:rsidRPr="00196438">
        <w:rPr>
          <w:rFonts w:ascii="Open Sans" w:hAnsi="Open Sans" w:cs="Open Sans"/>
          <w:sz w:val="18"/>
          <w:szCs w:val="18"/>
        </w:rPr>
        <w:t>V tomto článku nižšie poukáže</w:t>
      </w:r>
      <w:r w:rsidR="00764AC9" w:rsidRPr="00196438">
        <w:rPr>
          <w:rFonts w:ascii="Open Sans" w:hAnsi="Open Sans" w:cs="Open Sans"/>
          <w:sz w:val="18"/>
          <w:szCs w:val="18"/>
        </w:rPr>
        <w:t>m</w:t>
      </w:r>
      <w:r w:rsidR="008C3E35" w:rsidRPr="00196438">
        <w:rPr>
          <w:rFonts w:ascii="Open Sans" w:hAnsi="Open Sans" w:cs="Open Sans"/>
          <w:sz w:val="18"/>
          <w:szCs w:val="18"/>
        </w:rPr>
        <w:t xml:space="preserve"> </w:t>
      </w:r>
      <w:r w:rsidR="00D368F3" w:rsidRPr="00196438">
        <w:rPr>
          <w:rFonts w:ascii="Open Sans" w:hAnsi="Open Sans" w:cs="Open Sans"/>
          <w:sz w:val="18"/>
          <w:szCs w:val="18"/>
        </w:rPr>
        <w:t xml:space="preserve">na (ne)možnosť vplyvu Rozsudku na rozhodovaciu činnosť všeobecných súdov SR, a v tejto súvislosti aj na </w:t>
      </w:r>
      <w:r w:rsidR="008C3E35" w:rsidRPr="00196438">
        <w:rPr>
          <w:rFonts w:ascii="Open Sans" w:hAnsi="Open Sans" w:cs="Open Sans"/>
          <w:sz w:val="18"/>
          <w:szCs w:val="18"/>
        </w:rPr>
        <w:t>zbytočnosť položených otázok zo strany Okresnéh</w:t>
      </w:r>
      <w:r w:rsidR="00D368F3" w:rsidRPr="00196438">
        <w:rPr>
          <w:rFonts w:ascii="Open Sans" w:hAnsi="Open Sans" w:cs="Open Sans"/>
          <w:sz w:val="18"/>
          <w:szCs w:val="18"/>
        </w:rPr>
        <w:t>o súdu Dunajskej Stredy.</w:t>
      </w:r>
    </w:p>
    <w:p w14:paraId="7CC85332" w14:textId="77777777" w:rsidR="0008305D" w:rsidRPr="00196438" w:rsidRDefault="0008305D" w:rsidP="0008305D">
      <w:pPr>
        <w:spacing w:after="0"/>
        <w:jc w:val="both"/>
        <w:rPr>
          <w:rFonts w:ascii="Open Sans" w:hAnsi="Open Sans" w:cs="Open Sans"/>
          <w:sz w:val="18"/>
          <w:szCs w:val="18"/>
        </w:rPr>
      </w:pPr>
    </w:p>
    <w:p w14:paraId="7CC85333" w14:textId="77777777" w:rsidR="000B04A1" w:rsidRPr="00196438" w:rsidRDefault="00D368F3" w:rsidP="000B04A1">
      <w:pPr>
        <w:pStyle w:val="Odsekzoznamu"/>
        <w:numPr>
          <w:ilvl w:val="0"/>
          <w:numId w:val="3"/>
        </w:numPr>
        <w:spacing w:after="0"/>
        <w:ind w:left="284" w:hanging="284"/>
        <w:jc w:val="both"/>
        <w:rPr>
          <w:rFonts w:ascii="Open Sans" w:hAnsi="Open Sans" w:cs="Open Sans"/>
          <w:b/>
          <w:sz w:val="18"/>
          <w:szCs w:val="18"/>
        </w:rPr>
      </w:pPr>
      <w:r w:rsidRPr="00196438">
        <w:rPr>
          <w:rFonts w:ascii="Open Sans" w:hAnsi="Open Sans" w:cs="Open Sans"/>
          <w:b/>
          <w:sz w:val="18"/>
          <w:szCs w:val="18"/>
        </w:rPr>
        <w:t>P</w:t>
      </w:r>
      <w:r w:rsidR="000B04A1" w:rsidRPr="00196438">
        <w:rPr>
          <w:rFonts w:ascii="Open Sans" w:hAnsi="Open Sans" w:cs="Open Sans"/>
          <w:b/>
          <w:sz w:val="18"/>
          <w:szCs w:val="18"/>
        </w:rPr>
        <w:t>rejudiciálne otázky</w:t>
      </w:r>
    </w:p>
    <w:p w14:paraId="7CC85334" w14:textId="77777777" w:rsidR="000B04A1" w:rsidRPr="00196438" w:rsidRDefault="000B04A1" w:rsidP="0008305D">
      <w:pPr>
        <w:spacing w:after="0"/>
        <w:jc w:val="both"/>
        <w:rPr>
          <w:rFonts w:ascii="Open Sans" w:hAnsi="Open Sans" w:cs="Open Sans"/>
          <w:sz w:val="18"/>
          <w:szCs w:val="18"/>
        </w:rPr>
      </w:pPr>
    </w:p>
    <w:p w14:paraId="7CC85335" w14:textId="77777777" w:rsidR="00CC1BC9" w:rsidRPr="00196438" w:rsidRDefault="0008305D" w:rsidP="00CC1BC9">
      <w:pPr>
        <w:spacing w:after="0"/>
        <w:jc w:val="both"/>
        <w:rPr>
          <w:rFonts w:ascii="Open Sans" w:hAnsi="Open Sans" w:cs="Open Sans"/>
          <w:sz w:val="18"/>
          <w:szCs w:val="18"/>
        </w:rPr>
      </w:pPr>
      <w:r w:rsidRPr="00196438">
        <w:rPr>
          <w:rFonts w:ascii="Open Sans" w:hAnsi="Open Sans" w:cs="Open Sans"/>
          <w:sz w:val="18"/>
          <w:szCs w:val="18"/>
        </w:rPr>
        <w:t xml:space="preserve">Okresný súd Dunajská Streda </w:t>
      </w:r>
      <w:r w:rsidR="00CC1BC9" w:rsidRPr="00196438">
        <w:rPr>
          <w:rFonts w:ascii="Open Sans" w:hAnsi="Open Sans" w:cs="Open Sans"/>
          <w:sz w:val="18"/>
          <w:szCs w:val="18"/>
        </w:rPr>
        <w:t>prerušil vnútroštátny spotrebiteľský spor iniciovaný veriteľom v postav</w:t>
      </w:r>
      <w:r w:rsidR="00764AC9" w:rsidRPr="00196438">
        <w:rPr>
          <w:rFonts w:ascii="Open Sans" w:hAnsi="Open Sans" w:cs="Open Sans"/>
          <w:sz w:val="18"/>
          <w:szCs w:val="18"/>
        </w:rPr>
        <w:t>en</w:t>
      </w:r>
      <w:r w:rsidR="00CC1BC9" w:rsidRPr="00196438">
        <w:rPr>
          <w:rFonts w:ascii="Open Sans" w:hAnsi="Open Sans" w:cs="Open Sans"/>
          <w:sz w:val="18"/>
          <w:szCs w:val="18"/>
        </w:rPr>
        <w:t>í navrhovateľa</w:t>
      </w:r>
      <w:r w:rsidR="00764AC9" w:rsidRPr="00196438">
        <w:rPr>
          <w:rFonts w:ascii="Open Sans" w:hAnsi="Open Sans" w:cs="Open Sans"/>
          <w:sz w:val="18"/>
          <w:szCs w:val="18"/>
        </w:rPr>
        <w:t>,</w:t>
      </w:r>
      <w:r w:rsidR="00CC1BC9" w:rsidRPr="00196438">
        <w:rPr>
          <w:rFonts w:ascii="Open Sans" w:hAnsi="Open Sans" w:cs="Open Sans"/>
          <w:sz w:val="18"/>
          <w:szCs w:val="18"/>
        </w:rPr>
        <w:t xml:space="preserve"> spoločnosti Home Credit Slovakia, </w:t>
      </w:r>
      <w:proofErr w:type="spellStart"/>
      <w:r w:rsidR="00CC1BC9" w:rsidRPr="00196438">
        <w:rPr>
          <w:rFonts w:ascii="Open Sans" w:hAnsi="Open Sans" w:cs="Open Sans"/>
          <w:sz w:val="18"/>
          <w:szCs w:val="18"/>
        </w:rPr>
        <w:t>a.s</w:t>
      </w:r>
      <w:proofErr w:type="spellEnd"/>
      <w:r w:rsidR="00CC1BC9" w:rsidRPr="00196438">
        <w:rPr>
          <w:rFonts w:ascii="Open Sans" w:hAnsi="Open Sans" w:cs="Open Sans"/>
          <w:sz w:val="18"/>
          <w:szCs w:val="18"/>
        </w:rPr>
        <w:t>.</w:t>
      </w:r>
      <w:r w:rsidR="00764AC9" w:rsidRPr="00196438">
        <w:rPr>
          <w:rFonts w:ascii="Open Sans" w:hAnsi="Open Sans" w:cs="Open Sans"/>
          <w:sz w:val="18"/>
          <w:szCs w:val="18"/>
        </w:rPr>
        <w:t>,</w:t>
      </w:r>
      <w:r w:rsidR="00CC1BC9" w:rsidRPr="00196438">
        <w:rPr>
          <w:rFonts w:ascii="Open Sans" w:hAnsi="Open Sans" w:cs="Open Sans"/>
          <w:sz w:val="18"/>
          <w:szCs w:val="18"/>
        </w:rPr>
        <w:t xml:space="preserve"> voči odporcovi v postavení spotrebiteľa</w:t>
      </w:r>
      <w:r w:rsidR="00764AC9" w:rsidRPr="00196438">
        <w:rPr>
          <w:rFonts w:ascii="Open Sans" w:hAnsi="Open Sans" w:cs="Open Sans"/>
          <w:sz w:val="18"/>
          <w:szCs w:val="18"/>
        </w:rPr>
        <w:t>,</w:t>
      </w:r>
      <w:r w:rsidR="00CC1BC9" w:rsidRPr="00196438">
        <w:rPr>
          <w:rFonts w:ascii="Open Sans" w:hAnsi="Open Sans" w:cs="Open Sans"/>
          <w:sz w:val="18"/>
          <w:szCs w:val="18"/>
        </w:rPr>
        <w:t xml:space="preserve"> pani Kláre </w:t>
      </w:r>
      <w:proofErr w:type="spellStart"/>
      <w:r w:rsidR="00CC1BC9" w:rsidRPr="00196438">
        <w:rPr>
          <w:rFonts w:ascii="Open Sans" w:hAnsi="Open Sans" w:cs="Open Sans"/>
          <w:sz w:val="18"/>
          <w:szCs w:val="18"/>
        </w:rPr>
        <w:t>Bíroovej</w:t>
      </w:r>
      <w:proofErr w:type="spellEnd"/>
      <w:r w:rsidR="00764AC9" w:rsidRPr="00196438">
        <w:rPr>
          <w:rFonts w:ascii="Open Sans" w:hAnsi="Open Sans" w:cs="Open Sans"/>
          <w:sz w:val="18"/>
          <w:szCs w:val="18"/>
        </w:rPr>
        <w:t>,</w:t>
      </w:r>
      <w:r w:rsidR="00CC1BC9" w:rsidRPr="00196438">
        <w:rPr>
          <w:rFonts w:ascii="Open Sans" w:hAnsi="Open Sans" w:cs="Open Sans"/>
          <w:sz w:val="18"/>
          <w:szCs w:val="18"/>
        </w:rPr>
        <w:t xml:space="preserve"> </w:t>
      </w:r>
      <w:r w:rsidRPr="00196438">
        <w:rPr>
          <w:rFonts w:ascii="Open Sans" w:hAnsi="Open Sans" w:cs="Open Sans"/>
          <w:sz w:val="18"/>
          <w:szCs w:val="18"/>
        </w:rPr>
        <w:t>a položi</w:t>
      </w:r>
      <w:r w:rsidR="00CC1BC9" w:rsidRPr="00196438">
        <w:rPr>
          <w:rFonts w:ascii="Open Sans" w:hAnsi="Open Sans" w:cs="Open Sans"/>
          <w:sz w:val="18"/>
          <w:szCs w:val="18"/>
        </w:rPr>
        <w:t>l</w:t>
      </w:r>
      <w:r w:rsidRPr="00196438">
        <w:rPr>
          <w:rFonts w:ascii="Open Sans" w:hAnsi="Open Sans" w:cs="Open Sans"/>
          <w:sz w:val="18"/>
          <w:szCs w:val="18"/>
        </w:rPr>
        <w:t xml:space="preserve"> Súdnemu dvoru </w:t>
      </w:r>
      <w:r w:rsidR="00CC1BC9" w:rsidRPr="00196438">
        <w:rPr>
          <w:rFonts w:ascii="Open Sans" w:hAnsi="Open Sans" w:cs="Open Sans"/>
          <w:sz w:val="18"/>
          <w:szCs w:val="18"/>
        </w:rPr>
        <w:t>7 prejudiciálnych</w:t>
      </w:r>
      <w:r w:rsidRPr="00196438">
        <w:rPr>
          <w:rFonts w:ascii="Open Sans" w:hAnsi="Open Sans" w:cs="Open Sans"/>
          <w:sz w:val="18"/>
          <w:szCs w:val="18"/>
        </w:rPr>
        <w:t xml:space="preserve"> otáz</w:t>
      </w:r>
      <w:r w:rsidR="00CC1BC9" w:rsidRPr="00196438">
        <w:rPr>
          <w:rFonts w:ascii="Open Sans" w:hAnsi="Open Sans" w:cs="Open Sans"/>
          <w:sz w:val="18"/>
          <w:szCs w:val="18"/>
        </w:rPr>
        <w:t xml:space="preserve">ok. Pre účely tohto článku, význam ostatných položených otázok ako aj z </w:t>
      </w:r>
      <w:r w:rsidR="00764AC9" w:rsidRPr="00196438">
        <w:rPr>
          <w:rFonts w:ascii="Open Sans" w:hAnsi="Open Sans" w:cs="Open Sans"/>
          <w:sz w:val="18"/>
          <w:szCs w:val="18"/>
        </w:rPr>
        <w:t>rozsahových dôvodov sa obmedzím</w:t>
      </w:r>
      <w:r w:rsidR="00CC1BC9" w:rsidRPr="00196438">
        <w:rPr>
          <w:rFonts w:ascii="Open Sans" w:hAnsi="Open Sans" w:cs="Open Sans"/>
          <w:sz w:val="18"/>
          <w:szCs w:val="18"/>
        </w:rPr>
        <w:t xml:space="preserve"> na pre rozhodovaciu prax všeobecných súdov najdôležitejšie otázky, a to otázky č. 5 až 7.</w:t>
      </w:r>
    </w:p>
    <w:p w14:paraId="7CC85336" w14:textId="77777777" w:rsidR="00CC1BC9" w:rsidRPr="00196438" w:rsidRDefault="00CC1BC9" w:rsidP="00CC1BC9">
      <w:pPr>
        <w:spacing w:after="0"/>
        <w:jc w:val="both"/>
        <w:rPr>
          <w:rFonts w:ascii="Open Sans" w:hAnsi="Open Sans" w:cs="Open Sans"/>
          <w:sz w:val="18"/>
          <w:szCs w:val="18"/>
        </w:rPr>
      </w:pPr>
    </w:p>
    <w:p w14:paraId="7CC85337" w14:textId="77777777" w:rsidR="00CC1BC9" w:rsidRPr="00196438" w:rsidRDefault="00CC1BC9" w:rsidP="00CC1BC9">
      <w:pPr>
        <w:spacing w:after="0"/>
        <w:jc w:val="both"/>
        <w:rPr>
          <w:rFonts w:ascii="Open Sans" w:hAnsi="Open Sans" w:cs="Open Sans"/>
          <w:sz w:val="18"/>
          <w:szCs w:val="18"/>
          <w:u w:val="single"/>
        </w:rPr>
      </w:pPr>
      <w:r w:rsidRPr="00196438">
        <w:rPr>
          <w:rFonts w:ascii="Open Sans" w:hAnsi="Open Sans" w:cs="Open Sans"/>
          <w:sz w:val="18"/>
          <w:szCs w:val="18"/>
          <w:u w:val="single"/>
        </w:rPr>
        <w:t>Otázka č. 5</w:t>
      </w:r>
    </w:p>
    <w:p w14:paraId="7CC85338" w14:textId="77777777" w:rsidR="0008305D" w:rsidRPr="00196438" w:rsidRDefault="0008305D" w:rsidP="00CC1BC9">
      <w:pPr>
        <w:spacing w:after="0"/>
        <w:jc w:val="both"/>
        <w:rPr>
          <w:rFonts w:ascii="Open Sans" w:hAnsi="Open Sans" w:cs="Open Sans"/>
          <w:sz w:val="18"/>
          <w:szCs w:val="18"/>
        </w:rPr>
      </w:pPr>
      <w:r w:rsidRPr="00196438">
        <w:rPr>
          <w:rFonts w:ascii="Open Sans" w:hAnsi="Open Sans" w:cs="Open Sans"/>
          <w:sz w:val="18"/>
          <w:szCs w:val="18"/>
        </w:rPr>
        <w:t xml:space="preserve">Má sa článok 10 ods. 2 písm. i) v spojení s písm. h) </w:t>
      </w:r>
      <w:r w:rsidR="00CC1BC9" w:rsidRPr="00196438">
        <w:rPr>
          <w:rFonts w:ascii="Open Sans" w:hAnsi="Open Sans" w:cs="Open Sans"/>
          <w:sz w:val="18"/>
          <w:szCs w:val="18"/>
        </w:rPr>
        <w:t>Smernice Európskeho parlamentu a Rady 2008/48/ES č. 2008/48 o zmluvách o spotrebiteľskom úvere a o zrušení smernice Rady 87/102/EHS (ďalej len "</w:t>
      </w:r>
      <w:r w:rsidR="00CC1BC9" w:rsidRPr="00196438">
        <w:rPr>
          <w:rFonts w:ascii="Open Sans" w:hAnsi="Open Sans" w:cs="Open Sans"/>
          <w:b/>
          <w:sz w:val="18"/>
          <w:szCs w:val="18"/>
        </w:rPr>
        <w:t>Smernica</w:t>
      </w:r>
      <w:r w:rsidR="00CC1BC9" w:rsidRPr="00196438">
        <w:rPr>
          <w:rFonts w:ascii="Open Sans" w:hAnsi="Open Sans" w:cs="Open Sans"/>
          <w:sz w:val="18"/>
          <w:szCs w:val="18"/>
        </w:rPr>
        <w:t>")</w:t>
      </w:r>
      <w:r w:rsidRPr="00196438">
        <w:rPr>
          <w:rFonts w:ascii="Open Sans" w:hAnsi="Open Sans" w:cs="Open Sans"/>
          <w:sz w:val="18"/>
          <w:szCs w:val="18"/>
        </w:rPr>
        <w:t xml:space="preserve"> vykladať tak, že</w:t>
      </w:r>
    </w:p>
    <w:p w14:paraId="7CC85339" w14:textId="77777777" w:rsidR="0008305D" w:rsidRPr="00196438" w:rsidRDefault="0008305D" w:rsidP="0008305D">
      <w:pPr>
        <w:spacing w:after="0"/>
        <w:jc w:val="both"/>
        <w:rPr>
          <w:rFonts w:ascii="Open Sans" w:hAnsi="Open Sans" w:cs="Open Sans"/>
          <w:sz w:val="18"/>
          <w:szCs w:val="18"/>
        </w:rPr>
      </w:pPr>
    </w:p>
    <w:p w14:paraId="7CC8533A" w14:textId="77777777" w:rsidR="0008305D" w:rsidRPr="00196438" w:rsidRDefault="0008305D" w:rsidP="0008305D">
      <w:pPr>
        <w:pStyle w:val="Odsekzoznamu"/>
        <w:numPr>
          <w:ilvl w:val="0"/>
          <w:numId w:val="2"/>
        </w:numPr>
        <w:spacing w:after="0"/>
        <w:ind w:left="993" w:hanging="284"/>
        <w:jc w:val="both"/>
        <w:rPr>
          <w:rFonts w:ascii="Open Sans" w:hAnsi="Open Sans" w:cs="Open Sans"/>
          <w:sz w:val="18"/>
          <w:szCs w:val="18"/>
        </w:rPr>
      </w:pPr>
      <w:r w:rsidRPr="00196438">
        <w:rPr>
          <w:rFonts w:ascii="Open Sans" w:hAnsi="Open Sans" w:cs="Open Sans"/>
          <w:sz w:val="18"/>
          <w:szCs w:val="18"/>
        </w:rPr>
        <w:t>zmluva o úvere na dobu určitú, pri ktorej dochádza k splácaniu/amortizácii istiny úveru v rámci jednotlivých splátok, nemusí v čase uzavretia obsahovať presné určenie, aká časť každej jednotlivej splátky sa použije na splátku istiny a aká jej časť spláca bežné úroky a poplatky (t. j. súčasťou zmluvy nemusí byť presný splátkový kalendár/amortizačná tabuľka), ale že tieto údaje môžu byť obsiahnuté v splátkovom kalendári/amortizačnej tabuľke, ktorú veriteľ predloží dlžníkovi na jeho žiadosť, alebo</w:t>
      </w:r>
    </w:p>
    <w:p w14:paraId="7CC8533B" w14:textId="77777777" w:rsidR="0008305D" w:rsidRPr="00196438" w:rsidRDefault="0008305D" w:rsidP="0008305D">
      <w:pPr>
        <w:spacing w:after="0"/>
        <w:jc w:val="both"/>
        <w:rPr>
          <w:rFonts w:ascii="Open Sans" w:hAnsi="Open Sans" w:cs="Open Sans"/>
          <w:sz w:val="18"/>
          <w:szCs w:val="18"/>
        </w:rPr>
      </w:pPr>
      <w:bookmarkStart w:id="0" w:name="_GoBack"/>
      <w:bookmarkEnd w:id="0"/>
    </w:p>
    <w:p w14:paraId="7CC8533C" w14:textId="77777777" w:rsidR="00CC1BC9" w:rsidRPr="00196438" w:rsidRDefault="0008305D" w:rsidP="00CC1BC9">
      <w:pPr>
        <w:pStyle w:val="Odsekzoznamu"/>
        <w:numPr>
          <w:ilvl w:val="0"/>
          <w:numId w:val="2"/>
        </w:numPr>
        <w:spacing w:after="0"/>
        <w:ind w:left="993" w:hanging="284"/>
        <w:jc w:val="both"/>
        <w:rPr>
          <w:rFonts w:ascii="Open Sans" w:hAnsi="Open Sans" w:cs="Open Sans"/>
          <w:sz w:val="18"/>
          <w:szCs w:val="18"/>
        </w:rPr>
      </w:pPr>
      <w:r w:rsidRPr="00196438">
        <w:rPr>
          <w:rFonts w:ascii="Open Sans" w:hAnsi="Open Sans" w:cs="Open Sans"/>
          <w:sz w:val="18"/>
          <w:szCs w:val="18"/>
        </w:rPr>
        <w:t xml:space="preserve">článok 10 ods. 2 písm. h) </w:t>
      </w:r>
      <w:r w:rsidR="00CC1BC9" w:rsidRPr="00196438">
        <w:rPr>
          <w:rFonts w:ascii="Open Sans" w:hAnsi="Open Sans" w:cs="Open Sans"/>
          <w:sz w:val="18"/>
          <w:szCs w:val="18"/>
        </w:rPr>
        <w:t xml:space="preserve">Smernice </w:t>
      </w:r>
      <w:r w:rsidRPr="00196438">
        <w:rPr>
          <w:rFonts w:ascii="Open Sans" w:hAnsi="Open Sans" w:cs="Open Sans"/>
          <w:sz w:val="18"/>
          <w:szCs w:val="18"/>
        </w:rPr>
        <w:t xml:space="preserve">zaručuje dlžníkovi dodatočné právo žiadať výpis z amortizačnej tabuľky k určitému konkrétnemu dňu počas trvania zmluvy o úvere, no toto právo nezbavuje zmluvné strany povinnosti, aby rozdelenie jednotlivých plánovaných splátok </w:t>
      </w:r>
      <w:r w:rsidRPr="00196438">
        <w:rPr>
          <w:rFonts w:ascii="Open Sans" w:hAnsi="Open Sans" w:cs="Open Sans"/>
          <w:sz w:val="18"/>
          <w:szCs w:val="18"/>
        </w:rPr>
        <w:lastRenderedPageBreak/>
        <w:t>(splatných podľa zmluvy o úvere počas doby jej trvania) na úhradu istiny a úhradu bežných úrokov a poplatkov bolo obsiahnuté už v samotnej zmluve, a to spôsobom individualizovaným pre danú konkrétnu zmluvu?</w:t>
      </w:r>
    </w:p>
    <w:p w14:paraId="7CC8533D" w14:textId="77777777" w:rsidR="00CC1BC9" w:rsidRPr="00196438" w:rsidRDefault="00CC1BC9" w:rsidP="00CC1BC9">
      <w:pPr>
        <w:pStyle w:val="Odsekzoznamu"/>
        <w:spacing w:after="0"/>
        <w:ind w:left="0"/>
        <w:jc w:val="both"/>
        <w:rPr>
          <w:rFonts w:ascii="Open Sans" w:hAnsi="Open Sans" w:cs="Open Sans"/>
          <w:sz w:val="18"/>
          <w:szCs w:val="18"/>
        </w:rPr>
      </w:pPr>
    </w:p>
    <w:p w14:paraId="7CC8533E" w14:textId="77777777" w:rsidR="00CC1BC9" w:rsidRPr="00196438" w:rsidRDefault="00CC1BC9" w:rsidP="00CC1BC9">
      <w:pPr>
        <w:pStyle w:val="Odsekzoznamu"/>
        <w:spacing w:after="0"/>
        <w:ind w:left="0"/>
        <w:jc w:val="both"/>
        <w:rPr>
          <w:rFonts w:ascii="Open Sans" w:hAnsi="Open Sans" w:cs="Open Sans"/>
          <w:sz w:val="18"/>
          <w:szCs w:val="18"/>
          <w:u w:val="single"/>
        </w:rPr>
      </w:pPr>
      <w:r w:rsidRPr="00196438">
        <w:rPr>
          <w:rFonts w:ascii="Open Sans" w:hAnsi="Open Sans" w:cs="Open Sans"/>
          <w:sz w:val="18"/>
          <w:szCs w:val="18"/>
          <w:u w:val="single"/>
        </w:rPr>
        <w:t>Otázka č. 6</w:t>
      </w:r>
    </w:p>
    <w:p w14:paraId="7CC8533F" w14:textId="77777777" w:rsidR="00CC1BC9" w:rsidRPr="00196438" w:rsidRDefault="0008305D" w:rsidP="00CC1BC9">
      <w:pPr>
        <w:pStyle w:val="Odsekzoznamu"/>
        <w:spacing w:after="0"/>
        <w:ind w:left="0"/>
        <w:jc w:val="both"/>
        <w:rPr>
          <w:rFonts w:ascii="Open Sans" w:hAnsi="Open Sans" w:cs="Open Sans"/>
          <w:sz w:val="18"/>
          <w:szCs w:val="18"/>
        </w:rPr>
      </w:pPr>
      <w:r w:rsidRPr="00196438">
        <w:rPr>
          <w:rFonts w:ascii="Open Sans" w:hAnsi="Open Sans" w:cs="Open Sans"/>
          <w:sz w:val="18"/>
          <w:szCs w:val="18"/>
        </w:rPr>
        <w:t xml:space="preserve">Ak je správny výklad uvedený v prvej zarážke otázky č. 5: Spadá táto otázka do oblasti </w:t>
      </w:r>
      <w:r w:rsidR="00CC1BC9" w:rsidRPr="00196438">
        <w:rPr>
          <w:rFonts w:ascii="Open Sans" w:hAnsi="Open Sans" w:cs="Open Sans"/>
          <w:sz w:val="18"/>
          <w:szCs w:val="18"/>
        </w:rPr>
        <w:t>úplnej harmonizácie sledovanej S</w:t>
      </w:r>
      <w:r w:rsidRPr="00196438">
        <w:rPr>
          <w:rFonts w:ascii="Open Sans" w:hAnsi="Open Sans" w:cs="Open Sans"/>
          <w:sz w:val="18"/>
          <w:szCs w:val="18"/>
        </w:rPr>
        <w:t xml:space="preserve">mernicou, takže členský štát v zmysle článku 22 ods. 1 </w:t>
      </w:r>
      <w:r w:rsidR="00CC1BC9" w:rsidRPr="00196438">
        <w:rPr>
          <w:rFonts w:ascii="Open Sans" w:hAnsi="Open Sans" w:cs="Open Sans"/>
          <w:sz w:val="18"/>
          <w:szCs w:val="18"/>
        </w:rPr>
        <w:t xml:space="preserve">Smernice </w:t>
      </w:r>
      <w:r w:rsidRPr="00196438">
        <w:rPr>
          <w:rFonts w:ascii="Open Sans" w:hAnsi="Open Sans" w:cs="Open Sans"/>
          <w:sz w:val="18"/>
          <w:szCs w:val="18"/>
        </w:rPr>
        <w:t>nemôže vyžadovať, aby zmluva o úvere obsahovala presné určenie, aká časť každej jednotlivej splátky sa použije na splátku istiny a aká jej časť spláca bežné úroky a poplatky (t. j. aby súčasťou zmluvy bol presný splátkový kalendár/amortizačná tabuľka)?</w:t>
      </w:r>
    </w:p>
    <w:p w14:paraId="7CC85340" w14:textId="77777777" w:rsidR="00CC1BC9" w:rsidRPr="00196438" w:rsidRDefault="00CC1BC9" w:rsidP="00CC1BC9">
      <w:pPr>
        <w:pStyle w:val="Odsekzoznamu"/>
        <w:spacing w:after="0"/>
        <w:ind w:left="0"/>
        <w:jc w:val="both"/>
        <w:rPr>
          <w:rFonts w:ascii="Open Sans" w:hAnsi="Open Sans" w:cs="Open Sans"/>
          <w:sz w:val="18"/>
          <w:szCs w:val="18"/>
        </w:rPr>
      </w:pPr>
    </w:p>
    <w:p w14:paraId="7CC85341" w14:textId="77777777" w:rsidR="00CC1BC9" w:rsidRPr="00196438" w:rsidRDefault="00CC1BC9" w:rsidP="00CC1BC9">
      <w:pPr>
        <w:pStyle w:val="Odsekzoznamu"/>
        <w:spacing w:after="0"/>
        <w:ind w:left="0"/>
        <w:jc w:val="both"/>
        <w:rPr>
          <w:rFonts w:ascii="Open Sans" w:hAnsi="Open Sans" w:cs="Open Sans"/>
          <w:sz w:val="18"/>
          <w:szCs w:val="18"/>
          <w:u w:val="single"/>
        </w:rPr>
      </w:pPr>
      <w:r w:rsidRPr="00196438">
        <w:rPr>
          <w:rFonts w:ascii="Open Sans" w:hAnsi="Open Sans" w:cs="Open Sans"/>
          <w:sz w:val="18"/>
          <w:szCs w:val="18"/>
          <w:u w:val="single"/>
        </w:rPr>
        <w:t>Otázka č. 7</w:t>
      </w:r>
    </w:p>
    <w:p w14:paraId="7CC85342" w14:textId="77777777" w:rsidR="004D7CB3" w:rsidRPr="00196438" w:rsidRDefault="00CC1BC9" w:rsidP="00CC1BC9">
      <w:pPr>
        <w:pStyle w:val="Odsekzoznamu"/>
        <w:spacing w:after="0"/>
        <w:ind w:left="0"/>
        <w:jc w:val="both"/>
        <w:rPr>
          <w:rFonts w:ascii="Open Sans" w:hAnsi="Open Sans" w:cs="Open Sans"/>
          <w:sz w:val="18"/>
          <w:szCs w:val="18"/>
        </w:rPr>
      </w:pPr>
      <w:r w:rsidRPr="00196438">
        <w:rPr>
          <w:rFonts w:ascii="Open Sans" w:hAnsi="Open Sans" w:cs="Open Sans"/>
          <w:sz w:val="18"/>
          <w:szCs w:val="18"/>
        </w:rPr>
        <w:t>Majú sa ustanovenia článku 1 S</w:t>
      </w:r>
      <w:r w:rsidR="0008305D" w:rsidRPr="00196438">
        <w:rPr>
          <w:rFonts w:ascii="Open Sans" w:hAnsi="Open Sans" w:cs="Open Sans"/>
          <w:sz w:val="18"/>
          <w:szCs w:val="18"/>
        </w:rPr>
        <w:t>mernice</w:t>
      </w:r>
      <w:r w:rsidRPr="00196438">
        <w:rPr>
          <w:rFonts w:ascii="Open Sans" w:hAnsi="Open Sans" w:cs="Open Sans"/>
          <w:sz w:val="18"/>
          <w:szCs w:val="18"/>
        </w:rPr>
        <w:t>, podľa ktorého S</w:t>
      </w:r>
      <w:r w:rsidR="0008305D" w:rsidRPr="00196438">
        <w:rPr>
          <w:rFonts w:ascii="Open Sans" w:hAnsi="Open Sans" w:cs="Open Sans"/>
          <w:sz w:val="18"/>
          <w:szCs w:val="18"/>
        </w:rPr>
        <w:t xml:space="preserve">mernica sleduje úplnú harmonizáciu v danej </w:t>
      </w:r>
      <w:r w:rsidRPr="00196438">
        <w:rPr>
          <w:rFonts w:ascii="Open Sans" w:hAnsi="Open Sans" w:cs="Open Sans"/>
          <w:sz w:val="18"/>
          <w:szCs w:val="18"/>
        </w:rPr>
        <w:t>oblasti, alebo článku 23 tejto S</w:t>
      </w:r>
      <w:r w:rsidR="0008305D" w:rsidRPr="00196438">
        <w:rPr>
          <w:rFonts w:ascii="Open Sans" w:hAnsi="Open Sans" w:cs="Open Sans"/>
          <w:sz w:val="18"/>
          <w:szCs w:val="18"/>
        </w:rPr>
        <w:t xml:space="preserve">mernice, podľa ktorého majú byť sankcie primerané, vykladať tak, že bráni ustanoveniu vnútroštátneho práva, podľa ktorého absencia väčšiny náležitostí zmluvy o úvere </w:t>
      </w:r>
      <w:r w:rsidRPr="00196438">
        <w:rPr>
          <w:rFonts w:ascii="Open Sans" w:hAnsi="Open Sans" w:cs="Open Sans"/>
          <w:sz w:val="18"/>
          <w:szCs w:val="18"/>
        </w:rPr>
        <w:t>vyžadovanej v článku 10 ods. 2 S</w:t>
      </w:r>
      <w:r w:rsidR="0008305D" w:rsidRPr="00196438">
        <w:rPr>
          <w:rFonts w:ascii="Open Sans" w:hAnsi="Open Sans" w:cs="Open Sans"/>
          <w:sz w:val="18"/>
          <w:szCs w:val="18"/>
        </w:rPr>
        <w:t>mernice má za následok, že poskytnutý úver sa považuje za bezúročný a bez poplatkov, takže dlžník je povinný splatiť veriteľovi výlučne ist</w:t>
      </w:r>
      <w:r w:rsidRPr="00196438">
        <w:rPr>
          <w:rFonts w:ascii="Open Sans" w:hAnsi="Open Sans" w:cs="Open Sans"/>
          <w:sz w:val="18"/>
          <w:szCs w:val="18"/>
        </w:rPr>
        <w:t>inu, ktorú podľa zmluvy dostal?</w:t>
      </w:r>
    </w:p>
    <w:p w14:paraId="7CC85343" w14:textId="77777777" w:rsidR="004D7CB3" w:rsidRPr="00196438" w:rsidRDefault="004D7CB3" w:rsidP="004D7CB3">
      <w:pPr>
        <w:pStyle w:val="Odsekzoznamu"/>
        <w:spacing w:after="0"/>
        <w:ind w:left="0"/>
        <w:jc w:val="both"/>
        <w:rPr>
          <w:rFonts w:ascii="Open Sans" w:hAnsi="Open Sans" w:cs="Open Sans"/>
          <w:sz w:val="18"/>
          <w:szCs w:val="18"/>
        </w:rPr>
      </w:pPr>
    </w:p>
    <w:p w14:paraId="7CC85344" w14:textId="77777777" w:rsidR="000B04A1" w:rsidRPr="00196438" w:rsidRDefault="000B04A1" w:rsidP="000B04A1">
      <w:pPr>
        <w:pStyle w:val="Odsekzoznamu"/>
        <w:numPr>
          <w:ilvl w:val="0"/>
          <w:numId w:val="3"/>
        </w:numPr>
        <w:spacing w:after="0"/>
        <w:ind w:left="284" w:hanging="284"/>
        <w:jc w:val="both"/>
        <w:rPr>
          <w:rFonts w:ascii="Open Sans" w:hAnsi="Open Sans" w:cs="Open Sans"/>
          <w:b/>
          <w:sz w:val="18"/>
          <w:szCs w:val="18"/>
        </w:rPr>
      </w:pPr>
      <w:r w:rsidRPr="00196438">
        <w:rPr>
          <w:rFonts w:ascii="Open Sans" w:hAnsi="Open Sans" w:cs="Open Sans"/>
          <w:b/>
          <w:sz w:val="18"/>
          <w:szCs w:val="18"/>
        </w:rPr>
        <w:t>Odpovede Súdneho dvora EÚ</w:t>
      </w:r>
    </w:p>
    <w:p w14:paraId="7CC85345" w14:textId="77777777" w:rsidR="00CC1BC9" w:rsidRPr="00196438" w:rsidRDefault="00CC1BC9" w:rsidP="000B04A1">
      <w:pPr>
        <w:pStyle w:val="Odsekzoznamu"/>
        <w:spacing w:after="0"/>
        <w:ind w:left="284"/>
        <w:jc w:val="both"/>
        <w:rPr>
          <w:rFonts w:ascii="Open Sans" w:hAnsi="Open Sans" w:cs="Open Sans"/>
          <w:sz w:val="18"/>
          <w:szCs w:val="18"/>
        </w:rPr>
      </w:pPr>
    </w:p>
    <w:p w14:paraId="7CC85346" w14:textId="77777777" w:rsidR="000B04A1" w:rsidRPr="00196438" w:rsidRDefault="000B04A1" w:rsidP="00CC1BC9">
      <w:pPr>
        <w:pStyle w:val="Odsekzoznamu"/>
        <w:spacing w:after="0"/>
        <w:ind w:left="0"/>
        <w:jc w:val="both"/>
        <w:rPr>
          <w:rFonts w:ascii="Open Sans" w:hAnsi="Open Sans" w:cs="Open Sans"/>
          <w:sz w:val="18"/>
          <w:szCs w:val="18"/>
        </w:rPr>
      </w:pPr>
      <w:r w:rsidRPr="00196438">
        <w:rPr>
          <w:rFonts w:ascii="Open Sans" w:hAnsi="Open Sans" w:cs="Open Sans"/>
          <w:sz w:val="18"/>
          <w:szCs w:val="18"/>
        </w:rPr>
        <w:t xml:space="preserve">Súdny dvor EÚ (tretia komora) o </w:t>
      </w:r>
      <w:r w:rsidR="00CC1BC9" w:rsidRPr="00196438">
        <w:rPr>
          <w:rFonts w:ascii="Open Sans" w:hAnsi="Open Sans" w:cs="Open Sans"/>
          <w:sz w:val="18"/>
          <w:szCs w:val="18"/>
        </w:rPr>
        <w:t xml:space="preserve">vyššie </w:t>
      </w:r>
      <w:r w:rsidRPr="00196438">
        <w:rPr>
          <w:rFonts w:ascii="Open Sans" w:hAnsi="Open Sans" w:cs="Open Sans"/>
          <w:sz w:val="18"/>
          <w:szCs w:val="18"/>
        </w:rPr>
        <w:t>položených prejudiciálnych otázkach rozhodol takto:</w:t>
      </w:r>
    </w:p>
    <w:p w14:paraId="7CC85347" w14:textId="77777777" w:rsidR="000B04A1" w:rsidRPr="00196438" w:rsidRDefault="000B04A1" w:rsidP="000B04A1">
      <w:pPr>
        <w:pStyle w:val="Odsekzoznamu"/>
        <w:spacing w:after="0"/>
        <w:jc w:val="both"/>
        <w:rPr>
          <w:rFonts w:ascii="Open Sans" w:hAnsi="Open Sans" w:cs="Open Sans"/>
          <w:sz w:val="18"/>
          <w:szCs w:val="18"/>
        </w:rPr>
      </w:pPr>
    </w:p>
    <w:p w14:paraId="7CC85348" w14:textId="77777777" w:rsidR="000B04A1" w:rsidRPr="00196438" w:rsidRDefault="000B04A1" w:rsidP="00CC1BC9">
      <w:pPr>
        <w:pStyle w:val="Odsekzoznamu"/>
        <w:numPr>
          <w:ilvl w:val="0"/>
          <w:numId w:val="8"/>
        </w:numPr>
        <w:spacing w:after="0"/>
        <w:ind w:left="284" w:hanging="284"/>
        <w:jc w:val="both"/>
        <w:rPr>
          <w:rFonts w:ascii="Open Sans" w:hAnsi="Open Sans" w:cs="Open Sans"/>
          <w:sz w:val="18"/>
          <w:szCs w:val="18"/>
        </w:rPr>
      </w:pPr>
      <w:r w:rsidRPr="00196438">
        <w:rPr>
          <w:rFonts w:ascii="Open Sans" w:hAnsi="Open Sans" w:cs="Open Sans"/>
          <w:sz w:val="18"/>
          <w:szCs w:val="18"/>
        </w:rPr>
        <w:t>Článok 10 ods. 2 písm. h) a i) Smernice sa majú vykladať v tom zmysle, že zmluva o úvere na dobu určitú stanovujúca amortizáciu istiny po sebe nasledujúcimi splátkami nemusí vo forme amortizačnej tabuľky spresňovať, aká časť každej splátky bude započítaná na vrátenie tejto istiny. Tieto ustanovenia v spojení s článkom 22 ods. 1 tejto Smernice bránia tomu, aby členský štát stanovil takúto povinnosť vo svojej vnútroštátnej právnej úprave.</w:t>
      </w:r>
    </w:p>
    <w:p w14:paraId="7CC85349" w14:textId="77777777" w:rsidR="000B04A1" w:rsidRPr="00196438" w:rsidRDefault="000B04A1" w:rsidP="000B04A1">
      <w:pPr>
        <w:pStyle w:val="Odsekzoznamu"/>
        <w:spacing w:after="0"/>
        <w:jc w:val="both"/>
        <w:rPr>
          <w:rFonts w:ascii="Open Sans" w:hAnsi="Open Sans" w:cs="Open Sans"/>
          <w:sz w:val="18"/>
          <w:szCs w:val="18"/>
        </w:rPr>
      </w:pPr>
    </w:p>
    <w:p w14:paraId="7CC8534A" w14:textId="77777777" w:rsidR="000B04A1" w:rsidRPr="00196438" w:rsidRDefault="000B04A1" w:rsidP="00CC1BC9">
      <w:pPr>
        <w:pStyle w:val="Odsekzoznamu"/>
        <w:numPr>
          <w:ilvl w:val="0"/>
          <w:numId w:val="8"/>
        </w:numPr>
        <w:spacing w:after="0"/>
        <w:ind w:left="284" w:hanging="284"/>
        <w:jc w:val="both"/>
        <w:rPr>
          <w:rFonts w:ascii="Open Sans" w:hAnsi="Open Sans" w:cs="Open Sans"/>
          <w:sz w:val="18"/>
          <w:szCs w:val="18"/>
        </w:rPr>
      </w:pPr>
      <w:r w:rsidRPr="00196438">
        <w:rPr>
          <w:rFonts w:ascii="Open Sans" w:hAnsi="Open Sans" w:cs="Open Sans"/>
          <w:sz w:val="18"/>
          <w:szCs w:val="18"/>
        </w:rPr>
        <w:t>Článok 23 Smernice sa má vykladať v tom zmysle, že nebráni tomu, aby členský štát vo svojej vnútroštátnej právnej úprave stanovil, že v prípade, ak zmluva o úvere neobsahuje všetky náležitosti uvedené v článku 10 ods. 2 tejto Smernice, táto zmluva sa bude považovať za zmluvu o úvere bez úrokov a poplatkov, pokiaľ ide o okolnosť, ktorej neuvedenie môže spochybniť možnosť spotrebiteľa posúdiť rozsah svojho záväzku.</w:t>
      </w:r>
    </w:p>
    <w:p w14:paraId="7CC8534B" w14:textId="77777777" w:rsidR="000B04A1" w:rsidRPr="00196438" w:rsidRDefault="000B04A1" w:rsidP="000B04A1">
      <w:pPr>
        <w:pStyle w:val="Odsekzoznamu"/>
        <w:spacing w:after="0"/>
        <w:ind w:left="284"/>
        <w:jc w:val="both"/>
        <w:rPr>
          <w:rFonts w:ascii="Open Sans" w:hAnsi="Open Sans" w:cs="Open Sans"/>
          <w:b/>
          <w:sz w:val="18"/>
          <w:szCs w:val="18"/>
        </w:rPr>
      </w:pPr>
    </w:p>
    <w:p w14:paraId="7CC8534C" w14:textId="77777777" w:rsidR="00A97FAF" w:rsidRPr="00196438" w:rsidRDefault="00A97FAF" w:rsidP="008C3E35">
      <w:pPr>
        <w:pStyle w:val="Odsekzoznamu"/>
        <w:numPr>
          <w:ilvl w:val="0"/>
          <w:numId w:val="3"/>
        </w:numPr>
        <w:spacing w:after="0"/>
        <w:ind w:left="284" w:hanging="284"/>
        <w:jc w:val="both"/>
        <w:rPr>
          <w:rFonts w:ascii="Open Sans" w:hAnsi="Open Sans" w:cs="Open Sans"/>
          <w:b/>
          <w:sz w:val="18"/>
          <w:szCs w:val="18"/>
        </w:rPr>
      </w:pPr>
      <w:r w:rsidRPr="00196438">
        <w:rPr>
          <w:rFonts w:ascii="Open Sans" w:hAnsi="Open Sans" w:cs="Open Sans"/>
          <w:b/>
          <w:sz w:val="18"/>
          <w:szCs w:val="18"/>
        </w:rPr>
        <w:t xml:space="preserve">Všeobecne k </w:t>
      </w:r>
      <w:r w:rsidR="008C3E35" w:rsidRPr="00196438">
        <w:rPr>
          <w:rFonts w:ascii="Open Sans" w:hAnsi="Open Sans" w:cs="Open Sans"/>
          <w:b/>
          <w:sz w:val="18"/>
          <w:szCs w:val="18"/>
        </w:rPr>
        <w:t xml:space="preserve">rozsudku </w:t>
      </w:r>
      <w:r w:rsidR="00764AC9" w:rsidRPr="00196438">
        <w:rPr>
          <w:rFonts w:ascii="Open Sans" w:hAnsi="Open Sans" w:cs="Open Sans"/>
          <w:b/>
          <w:sz w:val="18"/>
          <w:szCs w:val="18"/>
        </w:rPr>
        <w:t xml:space="preserve">Súdneho dvora EÚ </w:t>
      </w:r>
      <w:r w:rsidR="008C3E35" w:rsidRPr="00196438">
        <w:rPr>
          <w:rFonts w:ascii="Open Sans" w:hAnsi="Open Sans" w:cs="Open Sans"/>
          <w:b/>
          <w:sz w:val="18"/>
          <w:szCs w:val="18"/>
        </w:rPr>
        <w:t xml:space="preserve">a jeho </w:t>
      </w:r>
      <w:r w:rsidR="00813CB8" w:rsidRPr="00196438">
        <w:rPr>
          <w:rFonts w:ascii="Open Sans" w:hAnsi="Open Sans" w:cs="Open Sans"/>
          <w:b/>
          <w:sz w:val="18"/>
          <w:szCs w:val="18"/>
        </w:rPr>
        <w:t>(ne)</w:t>
      </w:r>
      <w:r w:rsidR="008C3E35" w:rsidRPr="00196438">
        <w:rPr>
          <w:rFonts w:ascii="Open Sans" w:hAnsi="Open Sans" w:cs="Open Sans"/>
          <w:b/>
          <w:sz w:val="18"/>
          <w:szCs w:val="18"/>
        </w:rPr>
        <w:t>použiteľnosti pre ro</w:t>
      </w:r>
      <w:r w:rsidR="00A477A0" w:rsidRPr="00196438">
        <w:rPr>
          <w:rFonts w:ascii="Open Sans" w:hAnsi="Open Sans" w:cs="Open Sans"/>
          <w:b/>
          <w:sz w:val="18"/>
          <w:szCs w:val="18"/>
        </w:rPr>
        <w:t>zhodovanie všeobecných súdov SR</w:t>
      </w:r>
      <w:r w:rsidR="00D368F3" w:rsidRPr="00196438">
        <w:rPr>
          <w:rFonts w:ascii="Open Sans" w:hAnsi="Open Sans" w:cs="Open Sans"/>
          <w:b/>
          <w:sz w:val="18"/>
          <w:szCs w:val="18"/>
        </w:rPr>
        <w:t xml:space="preserve"> </w:t>
      </w:r>
    </w:p>
    <w:p w14:paraId="7CC8534D"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4E"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tejto časti sa budem venovať problematike toho, čo patrí do právomoci Súdneho dvora EÚ, čo patrí do právomocí vnútroštátnych súdov členských štátov, problematike európskeho práva a jeho vzťah k právu vnútroštátnemu ako takému a otázke, ako musia vnútroštátne súdy vykladať vnútroštátne právo pri konflikte medzi právom EÚ a právom vnútroštátnym, ako aj problematike tzv. úplnej harmonizácie.</w:t>
      </w:r>
    </w:p>
    <w:p w14:paraId="7CC8534F"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50"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V prvom rade, najpodstatnejšie je uvedomiť si, že </w:t>
      </w:r>
      <w:r w:rsidRPr="00196438">
        <w:rPr>
          <w:rFonts w:ascii="Open Sans" w:eastAsia="Times New Roman" w:hAnsi="Open Sans" w:cs="Open Sans"/>
          <w:sz w:val="18"/>
          <w:szCs w:val="18"/>
          <w:u w:val="single"/>
          <w:lang w:eastAsia="ar-SA"/>
        </w:rPr>
        <w:t>Súdny dvor EÚ vykladá jedine a výlučne právo Európskej únie a ako taký nikdy nie je oprávnený poskytovať výklad práva vnútroštátneho</w:t>
      </w:r>
      <w:r w:rsidR="0040770B" w:rsidRPr="00196438">
        <w:rPr>
          <w:rStyle w:val="Odkaznapoznmkupodiarou"/>
          <w:rFonts w:ascii="Open Sans" w:eastAsia="Times New Roman" w:hAnsi="Open Sans" w:cs="Open Sans"/>
          <w:sz w:val="18"/>
          <w:szCs w:val="18"/>
          <w:u w:val="single"/>
          <w:lang w:eastAsia="ar-SA"/>
        </w:rPr>
        <w:footnoteReference w:id="1"/>
      </w:r>
      <w:r w:rsidR="0040770B" w:rsidRPr="00196438">
        <w:rPr>
          <w:rStyle w:val="Odkaznapoznmkupodiarou"/>
          <w:rFonts w:ascii="Open Sans" w:eastAsia="Times New Roman" w:hAnsi="Open Sans" w:cs="Open Sans"/>
          <w:sz w:val="18"/>
          <w:szCs w:val="18"/>
          <w:u w:val="single"/>
          <w:lang w:eastAsia="ar-SA"/>
        </w:rPr>
        <w:footnoteReference w:id="2"/>
      </w:r>
      <w:r w:rsidRPr="00196438">
        <w:rPr>
          <w:rFonts w:ascii="Open Sans" w:eastAsia="Times New Roman" w:hAnsi="Open Sans" w:cs="Open Sans"/>
          <w:sz w:val="18"/>
          <w:szCs w:val="18"/>
          <w:lang w:eastAsia="ar-SA"/>
        </w:rPr>
        <w:t>. V súlade s vyššie uvedeným Súdny dvor EÚ aj vo veci C</w:t>
      </w:r>
      <w:r w:rsidRPr="00196438">
        <w:rPr>
          <w:rFonts w:ascii="Cambria Math" w:eastAsia="Times New Roman" w:hAnsi="Cambria Math" w:cs="Cambria Math"/>
          <w:sz w:val="18"/>
          <w:szCs w:val="18"/>
          <w:lang w:eastAsia="ar-SA"/>
        </w:rPr>
        <w:t>‑</w:t>
      </w:r>
      <w:r w:rsidR="00D368F3" w:rsidRPr="00196438">
        <w:rPr>
          <w:rFonts w:ascii="Open Sans" w:eastAsia="Times New Roman" w:hAnsi="Open Sans" w:cs="Open Sans"/>
          <w:sz w:val="18"/>
          <w:szCs w:val="18"/>
          <w:lang w:eastAsia="ar-SA"/>
        </w:rPr>
        <w:t>42/15 poskytol výlučne výklad S</w:t>
      </w:r>
      <w:r w:rsidRPr="00196438">
        <w:rPr>
          <w:rFonts w:ascii="Open Sans" w:eastAsia="Times New Roman" w:hAnsi="Open Sans" w:cs="Open Sans"/>
          <w:sz w:val="18"/>
          <w:szCs w:val="18"/>
          <w:lang w:eastAsia="ar-SA"/>
        </w:rPr>
        <w:t>mernice a v žiadnom prípade sa nemohol a ani sa nevyjadroval k výkladu zákona č. 129/2010 Z. z. ("ďalej len "</w:t>
      </w:r>
      <w:r w:rsidRPr="00196438">
        <w:rPr>
          <w:rFonts w:ascii="Open Sans" w:eastAsia="Times New Roman" w:hAnsi="Open Sans" w:cs="Open Sans"/>
          <w:b/>
          <w:sz w:val="18"/>
          <w:szCs w:val="18"/>
          <w:lang w:eastAsia="ar-SA"/>
        </w:rPr>
        <w:t>Zákon</w:t>
      </w:r>
      <w:r w:rsidRPr="00196438">
        <w:rPr>
          <w:rFonts w:ascii="Open Sans" w:eastAsia="Times New Roman" w:hAnsi="Open Sans" w:cs="Open Sans"/>
          <w:sz w:val="18"/>
          <w:szCs w:val="18"/>
          <w:lang w:eastAsia="ar-SA"/>
        </w:rPr>
        <w:t>").</w:t>
      </w:r>
    </w:p>
    <w:p w14:paraId="7CC85351"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52"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lastRenderedPageBreak/>
        <w:t>Naopak, výklad vnútroštátneho práva poskytujú vnútroštátne súdy.</w:t>
      </w:r>
    </w:p>
    <w:p w14:paraId="7CC85353"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54" w14:textId="77777777" w:rsidR="008501CE" w:rsidRPr="00196438" w:rsidRDefault="008501CE"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Okresný súd Dunajská Streda sa v otázke č. 5 v zásade pýta, či sa má Smernica vykladať v tom zmysle, že zmluva o spotrebiteľskom úvere musí obsahovať splátky s členením na splátky istiny, splátky úrokov a splátky poplatkov alebo či postačuje, ak je v zmluve vyjadrená iba celková výška splátky. V otázke č. 6 v zásade pýta, či ak zmluva nemusí obsahovať presné členenie splátok na splátky istiny, splátky úrokov a splátky iných poplatkov, či v takomto prípade spadá táto otázka do oblasti úplnej harmonizácie sledovanej Smernicou, takže členský štát v zmysle článku 22 ods. 1 Smernice nemôže vyžadovať, aby zmluva o úvere obsahovala presné určenie, aká časť každej jednotlivej splátky sa použije na splátku istiny a aká jej časť spláca bežné úroky a poplatky (t. j. aby súčasťou zmluvy bol presný splátkový kalendár/amortizačná tabuľka).</w:t>
      </w:r>
    </w:p>
    <w:p w14:paraId="7CC85355" w14:textId="77777777" w:rsidR="008501CE" w:rsidRPr="00196438" w:rsidRDefault="008501CE"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56" w14:textId="77777777" w:rsidR="008C3E35" w:rsidRPr="00196438" w:rsidRDefault="008501CE"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Pre priblíženie problematiky tzv. úplnej harmonizácie si dovoľujem uviesť, že tzv. úplná harmonizácia</w:t>
      </w:r>
      <w:r w:rsidR="008C3E35" w:rsidRPr="00196438">
        <w:rPr>
          <w:rFonts w:ascii="Open Sans" w:eastAsia="Times New Roman" w:hAnsi="Open Sans" w:cs="Open Sans"/>
          <w:sz w:val="18"/>
          <w:szCs w:val="18"/>
          <w:lang w:eastAsia="ar-SA"/>
        </w:rPr>
        <w:t xml:space="preserve"> spočíva</w:t>
      </w:r>
      <w:r w:rsidR="00DC2388" w:rsidRPr="00196438">
        <w:rPr>
          <w:rFonts w:ascii="Open Sans" w:eastAsia="Times New Roman" w:hAnsi="Open Sans" w:cs="Open Sans"/>
          <w:sz w:val="18"/>
          <w:szCs w:val="18"/>
          <w:lang w:eastAsia="ar-SA"/>
        </w:rPr>
        <w:t xml:space="preserve"> </w:t>
      </w:r>
      <w:r w:rsidR="008C3E35" w:rsidRPr="00196438">
        <w:rPr>
          <w:rFonts w:ascii="Open Sans" w:eastAsia="Times New Roman" w:hAnsi="Open Sans" w:cs="Open Sans"/>
          <w:sz w:val="18"/>
          <w:szCs w:val="18"/>
          <w:lang w:eastAsia="ar-SA"/>
        </w:rPr>
        <w:t xml:space="preserve">v tom, že členské štáty pri implementácii Smernice nesmeli zachovať ani zaviesť vo svojom vnútroštátnom práve ustanovenia, ktoré sa odchyľujú od ustanovení tejto Smernice. Túto tzv. úplnú harmonizáciu zakotvila Smernica vo svojom článku 22 </w:t>
      </w:r>
      <w:r w:rsidRPr="00196438">
        <w:rPr>
          <w:rFonts w:ascii="Open Sans" w:eastAsia="Times New Roman" w:hAnsi="Open Sans" w:cs="Open Sans"/>
          <w:i/>
          <w:sz w:val="18"/>
          <w:szCs w:val="18"/>
          <w:lang w:eastAsia="ar-SA"/>
        </w:rPr>
        <w:t>expressis verbis</w:t>
      </w:r>
      <w:r w:rsidRPr="00196438">
        <w:rPr>
          <w:rFonts w:ascii="Open Sans" w:eastAsia="Times New Roman" w:hAnsi="Open Sans" w:cs="Open Sans"/>
          <w:sz w:val="18"/>
          <w:szCs w:val="18"/>
          <w:lang w:eastAsia="ar-SA"/>
        </w:rPr>
        <w:t>, keď ustanovuje, že "</w:t>
      </w:r>
      <w:r w:rsidRPr="00196438">
        <w:rPr>
          <w:rFonts w:ascii="Open Sans" w:eastAsia="Times New Roman" w:hAnsi="Open Sans" w:cs="Open Sans"/>
          <w:i/>
          <w:sz w:val="18"/>
          <w:szCs w:val="18"/>
          <w:lang w:eastAsia="ar-SA"/>
        </w:rPr>
        <w:t>Keďže táto smernica obsahuje harmonizované ustanovenia, členské štáty nesmú zachovať ani zaviesť vo svojom vnútroštátnom práve ustanovenia, ktoré sa odchyľujú od ustanovení tejto smernice</w:t>
      </w:r>
      <w:r w:rsidRPr="00196438">
        <w:rPr>
          <w:rFonts w:ascii="Open Sans" w:eastAsia="Times New Roman" w:hAnsi="Open Sans" w:cs="Open Sans"/>
          <w:sz w:val="18"/>
          <w:szCs w:val="18"/>
          <w:lang w:eastAsia="ar-SA"/>
        </w:rPr>
        <w:t xml:space="preserve">". Otázka Okresného súdu Dunajská Streda č. 6 je teda absolútne zbytočná, pretože článok 22 ods. 1 Smernice nie je možné vykladať nijako inak ako tak, že členské štáty </w:t>
      </w:r>
      <w:r w:rsidR="00D16ACF" w:rsidRPr="00196438">
        <w:rPr>
          <w:rFonts w:ascii="Open Sans" w:eastAsia="Times New Roman" w:hAnsi="Open Sans" w:cs="Open Sans"/>
          <w:sz w:val="18"/>
          <w:szCs w:val="18"/>
          <w:lang w:eastAsia="ar-SA"/>
        </w:rPr>
        <w:t xml:space="preserve">sa </w:t>
      </w:r>
      <w:r w:rsidRPr="00196438">
        <w:rPr>
          <w:rFonts w:ascii="Open Sans" w:eastAsia="Times New Roman" w:hAnsi="Open Sans" w:cs="Open Sans"/>
          <w:sz w:val="18"/>
          <w:szCs w:val="18"/>
          <w:lang w:eastAsia="ar-SA"/>
        </w:rPr>
        <w:t xml:space="preserve">vzhľadom na tzv. úplnú harmonizáciu </w:t>
      </w:r>
      <w:r w:rsidR="00D16ACF" w:rsidRPr="00196438">
        <w:rPr>
          <w:rFonts w:ascii="Open Sans" w:eastAsia="Times New Roman" w:hAnsi="Open Sans" w:cs="Open Sans"/>
          <w:sz w:val="18"/>
          <w:szCs w:val="18"/>
          <w:lang w:eastAsia="ar-SA"/>
        </w:rPr>
        <w:t xml:space="preserve">od ustanovení Smernice nesmeli odchýliť. Koniec koncov, </w:t>
      </w:r>
      <w:r w:rsidR="008C3E35" w:rsidRPr="00196438">
        <w:rPr>
          <w:rFonts w:ascii="Open Sans" w:eastAsia="Times New Roman" w:hAnsi="Open Sans" w:cs="Open Sans"/>
          <w:sz w:val="18"/>
          <w:szCs w:val="18"/>
          <w:lang w:eastAsia="ar-SA"/>
        </w:rPr>
        <w:t xml:space="preserve">potvrdil </w:t>
      </w:r>
      <w:r w:rsidR="00D16ACF" w:rsidRPr="00196438">
        <w:rPr>
          <w:rFonts w:ascii="Open Sans" w:eastAsia="Times New Roman" w:hAnsi="Open Sans" w:cs="Open Sans"/>
          <w:sz w:val="18"/>
          <w:szCs w:val="18"/>
          <w:lang w:eastAsia="ar-SA"/>
        </w:rPr>
        <w:t xml:space="preserve">to </w:t>
      </w:r>
      <w:r w:rsidR="008C3E35" w:rsidRPr="00196438">
        <w:rPr>
          <w:rFonts w:ascii="Open Sans" w:eastAsia="Times New Roman" w:hAnsi="Open Sans" w:cs="Open Sans"/>
          <w:sz w:val="18"/>
          <w:szCs w:val="18"/>
          <w:lang w:eastAsia="ar-SA"/>
        </w:rPr>
        <w:t>aj Súdny dvor EÚ v</w:t>
      </w:r>
      <w:r w:rsidR="00D16ACF" w:rsidRPr="00196438">
        <w:rPr>
          <w:rFonts w:ascii="Open Sans" w:eastAsia="Times New Roman" w:hAnsi="Open Sans" w:cs="Open Sans"/>
          <w:sz w:val="18"/>
          <w:szCs w:val="18"/>
          <w:lang w:eastAsia="ar-SA"/>
        </w:rPr>
        <w:t xml:space="preserve"> Rozsudku</w:t>
      </w:r>
      <w:r w:rsidR="00D16ACF" w:rsidRPr="00196438">
        <w:rPr>
          <w:rStyle w:val="Odkaznapoznmkupodiarou"/>
          <w:rFonts w:ascii="Open Sans" w:eastAsia="Times New Roman" w:hAnsi="Open Sans" w:cs="Open Sans"/>
          <w:sz w:val="18"/>
          <w:szCs w:val="18"/>
          <w:lang w:eastAsia="ar-SA"/>
        </w:rPr>
        <w:footnoteReference w:id="3"/>
      </w:r>
      <w:r w:rsidR="008C3E35" w:rsidRPr="00196438">
        <w:rPr>
          <w:rFonts w:ascii="Open Sans" w:eastAsia="Times New Roman" w:hAnsi="Open Sans" w:cs="Open Sans"/>
          <w:sz w:val="18"/>
          <w:szCs w:val="18"/>
          <w:lang w:eastAsia="ar-SA"/>
        </w:rPr>
        <w:t xml:space="preserve"> </w:t>
      </w:r>
      <w:r w:rsidR="00D16ACF" w:rsidRPr="00196438">
        <w:rPr>
          <w:rFonts w:ascii="Open Sans" w:eastAsia="Times New Roman" w:hAnsi="Open Sans" w:cs="Open Sans"/>
          <w:sz w:val="18"/>
          <w:szCs w:val="18"/>
          <w:lang w:eastAsia="ar-SA"/>
        </w:rPr>
        <w:t>a n</w:t>
      </w:r>
      <w:r w:rsidR="002F0A8B" w:rsidRPr="00196438">
        <w:rPr>
          <w:rFonts w:ascii="Open Sans" w:eastAsia="Times New Roman" w:hAnsi="Open Sans" w:cs="Open Sans"/>
          <w:sz w:val="18"/>
          <w:szCs w:val="18"/>
          <w:lang w:eastAsia="ar-SA"/>
        </w:rPr>
        <w:t xml:space="preserve">ie je </w:t>
      </w:r>
      <w:proofErr w:type="spellStart"/>
      <w:r w:rsidR="002F0A8B" w:rsidRPr="00196438">
        <w:rPr>
          <w:rFonts w:ascii="Open Sans" w:eastAsia="Times New Roman" w:hAnsi="Open Sans" w:cs="Open Sans"/>
          <w:sz w:val="18"/>
          <w:szCs w:val="18"/>
          <w:lang w:eastAsia="ar-SA"/>
        </w:rPr>
        <w:t>monžé</w:t>
      </w:r>
      <w:proofErr w:type="spellEnd"/>
      <w:r w:rsidR="002F0A8B" w:rsidRPr="00196438">
        <w:rPr>
          <w:rFonts w:ascii="Open Sans" w:eastAsia="Times New Roman" w:hAnsi="Open Sans" w:cs="Open Sans"/>
          <w:sz w:val="18"/>
          <w:szCs w:val="18"/>
          <w:lang w:eastAsia="ar-SA"/>
        </w:rPr>
        <w:t xml:space="preserve"> ju namietať</w:t>
      </w:r>
      <w:r w:rsidR="008C3E35" w:rsidRPr="00196438">
        <w:rPr>
          <w:rFonts w:ascii="Open Sans" w:eastAsia="Times New Roman" w:hAnsi="Open Sans" w:cs="Open Sans"/>
          <w:sz w:val="18"/>
          <w:szCs w:val="18"/>
          <w:lang w:eastAsia="ar-SA"/>
        </w:rPr>
        <w:t xml:space="preserve">. </w:t>
      </w:r>
      <w:r w:rsidR="00923C5D" w:rsidRPr="00196438">
        <w:rPr>
          <w:rFonts w:ascii="Open Sans" w:eastAsia="Times New Roman" w:hAnsi="Open Sans" w:cs="Open Sans"/>
          <w:sz w:val="18"/>
          <w:szCs w:val="18"/>
          <w:lang w:eastAsia="ar-SA"/>
        </w:rPr>
        <w:t xml:space="preserve">Z dôvodov tejto jednoznačnosti vyššie uvedeného ustanovenia </w:t>
      </w:r>
      <w:r w:rsidR="00DC2388" w:rsidRPr="00196438">
        <w:rPr>
          <w:rFonts w:ascii="Open Sans" w:eastAsia="Times New Roman" w:hAnsi="Open Sans" w:cs="Open Sans"/>
          <w:sz w:val="18"/>
          <w:szCs w:val="18"/>
          <w:lang w:eastAsia="ar-SA"/>
        </w:rPr>
        <w:t xml:space="preserve">Smernice </w:t>
      </w:r>
      <w:r w:rsidR="00923C5D" w:rsidRPr="00196438">
        <w:rPr>
          <w:rFonts w:ascii="Open Sans" w:eastAsia="Times New Roman" w:hAnsi="Open Sans" w:cs="Open Sans"/>
          <w:sz w:val="18"/>
          <w:szCs w:val="18"/>
          <w:lang w:eastAsia="ar-SA"/>
        </w:rPr>
        <w:t xml:space="preserve">sa Súdny dvor EÚ v zmysle doktríny </w:t>
      </w:r>
      <w:proofErr w:type="spellStart"/>
      <w:r w:rsidR="00923C5D" w:rsidRPr="00196438">
        <w:rPr>
          <w:rFonts w:ascii="Open Sans" w:eastAsia="Times New Roman" w:hAnsi="Open Sans" w:cs="Open Sans"/>
          <w:i/>
          <w:sz w:val="18"/>
          <w:szCs w:val="18"/>
          <w:lang w:eastAsia="ar-SA"/>
        </w:rPr>
        <w:t>acte</w:t>
      </w:r>
      <w:proofErr w:type="spellEnd"/>
      <w:r w:rsidR="00923C5D" w:rsidRPr="00196438">
        <w:rPr>
          <w:rFonts w:ascii="Open Sans" w:eastAsia="Times New Roman" w:hAnsi="Open Sans" w:cs="Open Sans"/>
          <w:i/>
          <w:sz w:val="18"/>
          <w:szCs w:val="18"/>
          <w:lang w:eastAsia="ar-SA"/>
        </w:rPr>
        <w:t xml:space="preserve"> </w:t>
      </w:r>
      <w:proofErr w:type="spellStart"/>
      <w:r w:rsidR="00923C5D" w:rsidRPr="00196438">
        <w:rPr>
          <w:rFonts w:ascii="Open Sans" w:eastAsia="Times New Roman" w:hAnsi="Open Sans" w:cs="Open Sans"/>
          <w:i/>
          <w:sz w:val="18"/>
          <w:szCs w:val="18"/>
          <w:lang w:eastAsia="ar-SA"/>
        </w:rPr>
        <w:t>claire</w:t>
      </w:r>
      <w:proofErr w:type="spellEnd"/>
      <w:r w:rsidR="00923C5D" w:rsidRPr="00196438">
        <w:rPr>
          <w:rFonts w:ascii="Open Sans" w:eastAsia="Times New Roman" w:hAnsi="Open Sans" w:cs="Open Sans"/>
          <w:sz w:val="18"/>
          <w:szCs w:val="18"/>
          <w:lang w:eastAsia="ar-SA"/>
        </w:rPr>
        <w:t xml:space="preserve"> (spočívajúcej v tom, že správny výklad predkladanej predbežnej otázky je jasný, natoľko zrejmý, že o ňom neexistuje nijaká pochybnosť) nemal touto otázkou vôbec zaoberať.</w:t>
      </w:r>
    </w:p>
    <w:p w14:paraId="7CC85357"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58"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Je však potrebné si uvedomiť, že pre </w:t>
      </w:r>
      <w:r w:rsidR="00D16ACF" w:rsidRPr="00196438">
        <w:rPr>
          <w:rFonts w:ascii="Open Sans" w:eastAsia="Times New Roman" w:hAnsi="Open Sans" w:cs="Open Sans"/>
          <w:sz w:val="18"/>
          <w:szCs w:val="18"/>
          <w:lang w:eastAsia="ar-SA"/>
        </w:rPr>
        <w:t>všetky spotrebiteľské spory, v ktorých sa bude riešiť otázka, či má zmluva o spotrebiteľskom úvere obsahovať splátky v členení na splátky istiny, splátky úrokov a splátky poplatkov alebo nie,</w:t>
      </w:r>
      <w:r w:rsidR="00DC2388" w:rsidRPr="00196438">
        <w:rPr>
          <w:rFonts w:ascii="Open Sans" w:eastAsia="Times New Roman" w:hAnsi="Open Sans" w:cs="Open Sans"/>
          <w:sz w:val="18"/>
          <w:szCs w:val="18"/>
          <w:lang w:eastAsia="ar-SA"/>
        </w:rPr>
        <w:t xml:space="preserve"> ako aj otázka, kedy sa považuje spotrebiteľský úver za bezúročný a bez poplatkov,</w:t>
      </w:r>
      <w:r w:rsidR="00D16ACF"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sz w:val="18"/>
          <w:szCs w:val="18"/>
          <w:lang w:eastAsia="ar-SA"/>
        </w:rPr>
        <w:t xml:space="preserve">je skutočnosť, že Smernica zakotvuje tzv. úplnú harmonizáciu, úplne irelevantná, pretože Slovenská republika pri implementácii Smernice do Zákona povinnosť tzv. úplnej harmonizácie porušila (a naďalej ju </w:t>
      </w:r>
      <w:r w:rsidR="00DC2388" w:rsidRPr="00196438">
        <w:rPr>
          <w:rFonts w:ascii="Open Sans" w:eastAsia="Times New Roman" w:hAnsi="Open Sans" w:cs="Open Sans"/>
          <w:sz w:val="18"/>
          <w:szCs w:val="18"/>
          <w:lang w:eastAsia="ar-SA"/>
        </w:rPr>
        <w:t xml:space="preserve">aj </w:t>
      </w:r>
      <w:r w:rsidRPr="00196438">
        <w:rPr>
          <w:rFonts w:ascii="Open Sans" w:eastAsia="Times New Roman" w:hAnsi="Open Sans" w:cs="Open Sans"/>
          <w:sz w:val="18"/>
          <w:szCs w:val="18"/>
          <w:lang w:eastAsia="ar-SA"/>
        </w:rPr>
        <w:t>porušuje). Iným</w:t>
      </w:r>
      <w:r w:rsidR="002F0A8B" w:rsidRPr="00196438">
        <w:rPr>
          <w:rFonts w:ascii="Open Sans" w:eastAsia="Times New Roman" w:hAnsi="Open Sans" w:cs="Open Sans"/>
          <w:sz w:val="18"/>
          <w:szCs w:val="18"/>
          <w:lang w:eastAsia="ar-SA"/>
        </w:rPr>
        <w:t>i slovami, to, že Súdny dvor EÚ</w:t>
      </w:r>
      <w:r w:rsidRPr="00196438">
        <w:rPr>
          <w:rFonts w:ascii="Open Sans" w:eastAsia="Times New Roman" w:hAnsi="Open Sans" w:cs="Open Sans"/>
          <w:sz w:val="18"/>
          <w:szCs w:val="18"/>
          <w:lang w:eastAsia="ar-SA"/>
        </w:rPr>
        <w:t xml:space="preserve"> potvrdil, že Smernica sa má vykladať tak, že členské štáty nesmeli zachovať ani zaviesť vo svojom vnútroštátnom práve ustanovenia, ktoré sa odchyľujú od ustanovení tejto Smernice, je síce na jednej strane pekné, ale na druhej strane irelevantné, pretože v tomto konkrétnom prípade išlo vnútroštátne právo</w:t>
      </w:r>
      <w:r w:rsidR="00DC2388" w:rsidRPr="00196438">
        <w:rPr>
          <w:rFonts w:ascii="Open Sans" w:eastAsia="Times New Roman" w:hAnsi="Open Sans" w:cs="Open Sans"/>
          <w:sz w:val="18"/>
          <w:szCs w:val="18"/>
          <w:lang w:eastAsia="ar-SA"/>
        </w:rPr>
        <w:t xml:space="preserve"> (Zákon)</w:t>
      </w:r>
      <w:r w:rsidRPr="00196438">
        <w:rPr>
          <w:rFonts w:ascii="Open Sans" w:eastAsia="Times New Roman" w:hAnsi="Open Sans" w:cs="Open Sans"/>
          <w:sz w:val="18"/>
          <w:szCs w:val="18"/>
          <w:lang w:eastAsia="ar-SA"/>
        </w:rPr>
        <w:t xml:space="preserve"> nad rámec Smernice tak, ako je uvedené v tabuľke nižšie, a teda vnútroštátne právo (Zákon) je v konflikte s právom EÚ (Smernica)</w:t>
      </w:r>
      <w:r w:rsidR="00D16ACF" w:rsidRPr="00196438">
        <w:rPr>
          <w:rFonts w:ascii="Open Sans" w:eastAsia="Times New Roman" w:hAnsi="Open Sans" w:cs="Open Sans"/>
          <w:sz w:val="18"/>
          <w:szCs w:val="18"/>
          <w:lang w:eastAsia="ar-SA"/>
        </w:rPr>
        <w:t>, a to dokonca vo viacerých bodoch</w:t>
      </w:r>
      <w:r w:rsidRPr="00196438">
        <w:rPr>
          <w:rFonts w:ascii="Open Sans" w:eastAsia="Times New Roman" w:hAnsi="Open Sans" w:cs="Open Sans"/>
          <w:sz w:val="18"/>
          <w:szCs w:val="18"/>
          <w:lang w:eastAsia="ar-SA"/>
        </w:rPr>
        <w:t>.</w:t>
      </w:r>
      <w:r w:rsidR="00764AC9" w:rsidRPr="00196438">
        <w:rPr>
          <w:rFonts w:ascii="Open Sans" w:eastAsia="Times New Roman" w:hAnsi="Open Sans" w:cs="Open Sans"/>
          <w:sz w:val="18"/>
          <w:szCs w:val="18"/>
          <w:lang w:eastAsia="ar-SA"/>
        </w:rPr>
        <w:t xml:space="preserve"> V tabuľke nižšie uvediem príkladom dva z nich.</w:t>
      </w:r>
    </w:p>
    <w:p w14:paraId="7CC85359" w14:textId="77777777" w:rsidR="00A477A0" w:rsidRPr="00196438" w:rsidRDefault="00A477A0" w:rsidP="008C3E35">
      <w:pPr>
        <w:tabs>
          <w:tab w:val="left" w:pos="708"/>
          <w:tab w:val="left" w:pos="6674"/>
        </w:tabs>
        <w:suppressAutoHyphens/>
        <w:spacing w:after="0"/>
        <w:jc w:val="both"/>
        <w:rPr>
          <w:rFonts w:ascii="Open Sans" w:eastAsia="Times New Roman" w:hAnsi="Open Sans" w:cs="Open San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8C3E35" w:rsidRPr="00196438" w14:paraId="7CC85360" w14:textId="77777777" w:rsidTr="00B420C3">
        <w:tc>
          <w:tcPr>
            <w:tcW w:w="4605" w:type="dxa"/>
            <w:shd w:val="clear" w:color="auto" w:fill="000000"/>
          </w:tcPr>
          <w:p w14:paraId="7CC8535A"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Požiadavka Smernice:</w:t>
            </w:r>
          </w:p>
          <w:p w14:paraId="7CC8535B"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p>
          <w:p w14:paraId="7CC8535C"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Zmluva o úvere zrozumiteľne a stručne uvádza:</w:t>
            </w:r>
          </w:p>
        </w:tc>
        <w:tc>
          <w:tcPr>
            <w:tcW w:w="4606" w:type="dxa"/>
            <w:shd w:val="clear" w:color="auto" w:fill="000000"/>
          </w:tcPr>
          <w:p w14:paraId="7CC8535D"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Požiadavka Zákona:</w:t>
            </w:r>
          </w:p>
          <w:p w14:paraId="7CC8535E"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p>
          <w:p w14:paraId="7CC8535F"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Zmluva o spotrebiteľskom úvere okrem všeobecných náležitostí podľa Občianskeho zákonníka musí obsahovať tieto náležitosti:</w:t>
            </w:r>
          </w:p>
        </w:tc>
      </w:tr>
      <w:tr w:rsidR="008C3E35" w:rsidRPr="00196438" w14:paraId="7CC8536A" w14:textId="77777777" w:rsidTr="00B420C3">
        <w:tc>
          <w:tcPr>
            <w:tcW w:w="4605" w:type="dxa"/>
          </w:tcPr>
          <w:p w14:paraId="7CC85361"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
                <w:bCs/>
                <w:sz w:val="18"/>
                <w:szCs w:val="18"/>
                <w:lang w:eastAsia="ar-SA"/>
              </w:rPr>
            </w:pPr>
          </w:p>
          <w:p w14:paraId="7CC85362"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
                <w:bCs/>
                <w:sz w:val="18"/>
                <w:szCs w:val="18"/>
                <w:lang w:eastAsia="ar-SA"/>
              </w:rPr>
            </w:pPr>
            <w:r w:rsidRPr="00196438">
              <w:rPr>
                <w:rFonts w:ascii="Open Sans" w:eastAsia="Times New Roman" w:hAnsi="Open Sans" w:cs="Open Sans"/>
                <w:b/>
                <w:bCs/>
                <w:sz w:val="18"/>
                <w:szCs w:val="18"/>
                <w:lang w:eastAsia="ar-SA"/>
              </w:rPr>
              <w:t xml:space="preserve">výšku, počet a frekvenciu </w:t>
            </w:r>
            <w:r w:rsidRPr="00196438">
              <w:rPr>
                <w:rFonts w:ascii="Open Sans" w:eastAsia="Times New Roman" w:hAnsi="Open Sans" w:cs="Open Sans"/>
                <w:b/>
                <w:bCs/>
                <w:sz w:val="18"/>
                <w:szCs w:val="18"/>
                <w:u w:val="single"/>
                <w:lang w:eastAsia="ar-SA"/>
              </w:rPr>
              <w:t>splátok spotrebiteľa</w:t>
            </w:r>
            <w:r w:rsidRPr="00196438">
              <w:rPr>
                <w:rFonts w:ascii="Open Sans" w:eastAsia="Times New Roman" w:hAnsi="Open Sans" w:cs="Open Sans"/>
                <w:b/>
                <w:bCs/>
                <w:sz w:val="18"/>
                <w:szCs w:val="18"/>
                <w:lang w:eastAsia="ar-SA"/>
              </w:rPr>
              <w:t xml:space="preserve"> </w:t>
            </w:r>
          </w:p>
          <w:p w14:paraId="7CC85363"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
                <w:bCs/>
                <w:sz w:val="18"/>
                <w:szCs w:val="18"/>
                <w:lang w:eastAsia="ar-SA"/>
              </w:rPr>
            </w:pPr>
          </w:p>
          <w:p w14:paraId="7CC85364"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
                <w:bCs/>
                <w:sz w:val="18"/>
                <w:szCs w:val="18"/>
                <w:lang w:eastAsia="ar-SA"/>
              </w:rPr>
            </w:pPr>
          </w:p>
          <w:p w14:paraId="7CC85365"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Cs/>
                <w:sz w:val="18"/>
                <w:szCs w:val="18"/>
                <w:lang w:eastAsia="ar-SA"/>
              </w:rPr>
            </w:pPr>
            <w:r w:rsidRPr="00196438">
              <w:rPr>
                <w:rFonts w:ascii="Open Sans" w:eastAsia="Times New Roman" w:hAnsi="Open Sans" w:cs="Open Sans"/>
                <w:bCs/>
                <w:sz w:val="18"/>
                <w:szCs w:val="18"/>
                <w:lang w:eastAsia="ar-SA"/>
              </w:rPr>
              <w:t xml:space="preserve">a prípadne poradie, v ktorom sa budú splátky </w:t>
            </w:r>
            <w:r w:rsidRPr="00196438">
              <w:rPr>
                <w:rFonts w:ascii="Open Sans" w:eastAsia="Times New Roman" w:hAnsi="Open Sans" w:cs="Open Sans"/>
                <w:bCs/>
                <w:sz w:val="18"/>
                <w:szCs w:val="18"/>
                <w:lang w:eastAsia="ar-SA"/>
              </w:rPr>
              <w:lastRenderedPageBreak/>
              <w:t>priraďovať k jednotlivým nesplateným zostatkom s rôznymi úrokovými sadzbami úveru na účely splatenia</w:t>
            </w:r>
            <w:r w:rsidRPr="00196438">
              <w:rPr>
                <w:rFonts w:ascii="Open Sans" w:eastAsia="Times New Roman" w:hAnsi="Open Sans" w:cs="Open Sans"/>
                <w:bCs/>
                <w:sz w:val="18"/>
                <w:szCs w:val="18"/>
                <w:vertAlign w:val="superscript"/>
                <w:lang w:eastAsia="ar-SA"/>
              </w:rPr>
              <w:footnoteReference w:id="4"/>
            </w:r>
          </w:p>
        </w:tc>
        <w:tc>
          <w:tcPr>
            <w:tcW w:w="4606" w:type="dxa"/>
          </w:tcPr>
          <w:p w14:paraId="7CC85366"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67"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b/>
                <w:sz w:val="18"/>
                <w:szCs w:val="18"/>
                <w:lang w:eastAsia="ar-SA"/>
              </w:rPr>
            </w:pPr>
            <w:r w:rsidRPr="00196438">
              <w:rPr>
                <w:rFonts w:ascii="Open Sans" w:eastAsia="Times New Roman" w:hAnsi="Open Sans" w:cs="Open Sans"/>
                <w:b/>
                <w:sz w:val="18"/>
                <w:szCs w:val="18"/>
                <w:lang w:eastAsia="ar-SA"/>
              </w:rPr>
              <w:t xml:space="preserve">výšku, počet a termíny </w:t>
            </w:r>
            <w:r w:rsidRPr="00196438">
              <w:rPr>
                <w:rFonts w:ascii="Open Sans" w:eastAsia="Times New Roman" w:hAnsi="Open Sans" w:cs="Open Sans"/>
                <w:b/>
                <w:sz w:val="18"/>
                <w:szCs w:val="18"/>
                <w:u w:val="single"/>
                <w:lang w:eastAsia="ar-SA"/>
              </w:rPr>
              <w:t>splátok istiny, úrokov a iných poplatkov</w:t>
            </w:r>
            <w:r w:rsidRPr="00196438">
              <w:rPr>
                <w:rFonts w:ascii="Open Sans" w:eastAsia="Times New Roman" w:hAnsi="Open Sans" w:cs="Open Sans"/>
                <w:b/>
                <w:sz w:val="18"/>
                <w:szCs w:val="18"/>
                <w:lang w:eastAsia="ar-SA"/>
              </w:rPr>
              <w:t xml:space="preserve">, </w:t>
            </w:r>
          </w:p>
          <w:p w14:paraId="7CC85368"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69"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prípadné poradie, v ktorom sa budú splátky </w:t>
            </w:r>
            <w:r w:rsidRPr="00196438">
              <w:rPr>
                <w:rFonts w:ascii="Open Sans" w:eastAsia="Times New Roman" w:hAnsi="Open Sans" w:cs="Open Sans"/>
                <w:sz w:val="18"/>
                <w:szCs w:val="18"/>
                <w:lang w:eastAsia="ar-SA"/>
              </w:rPr>
              <w:lastRenderedPageBreak/>
              <w:t>priraďovať k jednotlivým nesplateným zostatkom s rôznymi úrokovými sadzbami spotrebiteľského úveru na účely jeho splatenia</w:t>
            </w:r>
            <w:r w:rsidRPr="00196438">
              <w:rPr>
                <w:rFonts w:ascii="Open Sans" w:eastAsia="Times New Roman" w:hAnsi="Open Sans" w:cs="Open Sans"/>
                <w:sz w:val="18"/>
                <w:szCs w:val="18"/>
                <w:vertAlign w:val="superscript"/>
                <w:lang w:eastAsia="ar-SA"/>
              </w:rPr>
              <w:footnoteReference w:id="5"/>
            </w:r>
          </w:p>
        </w:tc>
      </w:tr>
      <w:tr w:rsidR="00842752" w:rsidRPr="00196438" w14:paraId="7CC8536D" w14:textId="77777777" w:rsidTr="00764AC9">
        <w:tc>
          <w:tcPr>
            <w:tcW w:w="4605" w:type="dxa"/>
            <w:shd w:val="clear" w:color="auto" w:fill="auto"/>
          </w:tcPr>
          <w:p w14:paraId="7CC8536B"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b/>
                <w:bCs/>
                <w:sz w:val="18"/>
                <w:szCs w:val="18"/>
                <w:lang w:eastAsia="ar-SA"/>
              </w:rPr>
            </w:pPr>
            <w:r w:rsidRPr="00196438">
              <w:rPr>
                <w:rFonts w:ascii="Open Sans" w:eastAsia="Times New Roman" w:hAnsi="Open Sans" w:cs="Open Sans"/>
                <w:bCs/>
                <w:sz w:val="18"/>
                <w:szCs w:val="18"/>
                <w:lang w:eastAsia="ar-SA"/>
              </w:rPr>
              <w:lastRenderedPageBreak/>
              <w:t>dĺžku trvania zmluvy o úvere</w:t>
            </w:r>
            <w:r w:rsidRPr="00196438">
              <w:rPr>
                <w:rFonts w:ascii="Open Sans" w:eastAsia="Times New Roman" w:hAnsi="Open Sans" w:cs="Open Sans"/>
                <w:b/>
                <w:bCs/>
                <w:sz w:val="18"/>
                <w:szCs w:val="18"/>
                <w:vertAlign w:val="superscript"/>
                <w:lang w:eastAsia="ar-SA"/>
              </w:rPr>
              <w:footnoteReference w:id="6"/>
            </w:r>
          </w:p>
        </w:tc>
        <w:tc>
          <w:tcPr>
            <w:tcW w:w="4606" w:type="dxa"/>
            <w:shd w:val="clear" w:color="auto" w:fill="auto"/>
          </w:tcPr>
          <w:p w14:paraId="7CC8536C"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b/>
                <w:sz w:val="18"/>
                <w:szCs w:val="18"/>
                <w:lang w:eastAsia="ar-SA"/>
              </w:rPr>
              <w:t>dobu trvania zmluvy</w:t>
            </w:r>
            <w:r w:rsidRPr="00196438">
              <w:rPr>
                <w:rFonts w:ascii="Open Sans" w:eastAsia="Times New Roman" w:hAnsi="Open Sans" w:cs="Open Sans"/>
                <w:sz w:val="18"/>
                <w:szCs w:val="18"/>
                <w:lang w:eastAsia="ar-SA"/>
              </w:rPr>
              <w:t xml:space="preserve"> o spotrebiteľskom úvere </w:t>
            </w:r>
            <w:r w:rsidRPr="00196438">
              <w:rPr>
                <w:rFonts w:ascii="Open Sans" w:eastAsia="Times New Roman" w:hAnsi="Open Sans" w:cs="Open Sans"/>
                <w:b/>
                <w:sz w:val="18"/>
                <w:szCs w:val="18"/>
                <w:u w:val="single"/>
                <w:lang w:eastAsia="ar-SA"/>
              </w:rPr>
              <w:t>a</w:t>
            </w:r>
            <w:r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b/>
                <w:sz w:val="18"/>
                <w:szCs w:val="18"/>
                <w:lang w:eastAsia="ar-SA"/>
              </w:rPr>
              <w:t>termín konečnej splatnosti</w:t>
            </w:r>
            <w:r w:rsidRPr="00196438">
              <w:rPr>
                <w:rFonts w:ascii="Open Sans" w:eastAsia="Times New Roman" w:hAnsi="Open Sans" w:cs="Open Sans"/>
                <w:sz w:val="18"/>
                <w:szCs w:val="18"/>
                <w:lang w:eastAsia="ar-SA"/>
              </w:rPr>
              <w:t xml:space="preserve"> spotrebiteľského úveru</w:t>
            </w:r>
            <w:r w:rsidRPr="00196438">
              <w:rPr>
                <w:rFonts w:ascii="Open Sans" w:eastAsia="Times New Roman" w:hAnsi="Open Sans" w:cs="Open Sans"/>
                <w:sz w:val="18"/>
                <w:szCs w:val="18"/>
                <w:vertAlign w:val="superscript"/>
                <w:lang w:eastAsia="ar-SA"/>
              </w:rPr>
              <w:footnoteReference w:id="7"/>
            </w:r>
          </w:p>
        </w:tc>
      </w:tr>
    </w:tbl>
    <w:p w14:paraId="7CC8536E"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6F"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Rovnako tiež Súdny dvor EÚ vyložil </w:t>
      </w:r>
      <w:r w:rsidRPr="00196438">
        <w:rPr>
          <w:rFonts w:ascii="Open Sans" w:eastAsia="Times New Roman" w:hAnsi="Open Sans" w:cs="Open Sans"/>
          <w:sz w:val="18"/>
          <w:szCs w:val="18"/>
          <w:u w:val="single"/>
          <w:lang w:eastAsia="ar-SA"/>
        </w:rPr>
        <w:t>Smernicu</w:t>
      </w:r>
      <w:r w:rsidR="00DC2388" w:rsidRPr="00196438">
        <w:rPr>
          <w:rFonts w:ascii="Open Sans" w:eastAsia="Times New Roman" w:hAnsi="Open Sans" w:cs="Open Sans"/>
          <w:sz w:val="18"/>
          <w:szCs w:val="18"/>
          <w:lang w:eastAsia="ar-SA"/>
        </w:rPr>
        <w:t xml:space="preserve"> tak</w:t>
      </w:r>
      <w:r w:rsidRPr="00196438">
        <w:rPr>
          <w:rFonts w:ascii="Open Sans" w:eastAsia="Times New Roman" w:hAnsi="Open Sans" w:cs="Open Sans"/>
          <w:sz w:val="18"/>
          <w:szCs w:val="18"/>
          <w:lang w:eastAsia="ar-SA"/>
        </w:rPr>
        <w:t>, že článok 23</w:t>
      </w:r>
      <w:r w:rsidR="00DC2388" w:rsidRPr="00196438">
        <w:rPr>
          <w:rFonts w:ascii="Open Sans" w:eastAsia="Times New Roman" w:hAnsi="Open Sans" w:cs="Open Sans"/>
          <w:sz w:val="18"/>
          <w:szCs w:val="18"/>
          <w:lang w:eastAsia="ar-SA"/>
        </w:rPr>
        <w:t xml:space="preserve"> Smernice</w:t>
      </w:r>
      <w:r w:rsidRPr="00196438">
        <w:rPr>
          <w:rFonts w:ascii="Open Sans" w:eastAsia="Times New Roman" w:hAnsi="Open Sans" w:cs="Open Sans"/>
          <w:sz w:val="18"/>
          <w:szCs w:val="18"/>
          <w:lang w:eastAsia="ar-SA"/>
        </w:rPr>
        <w:t xml:space="preserve"> sa má vykladať v tom zmysle, že nebráni tomu, aby členský štát vo svojej vnútroštátnej právnej úprave stanovil, že v prípade, ak zmluva o úvere neobsahuje všetky náležitosti uvedené v článku 10 ods. 2 tejto Smernice, táto zmluva sa bude považovať za zmluvu o úvere bez úrokov a poplatkov, </w:t>
      </w:r>
      <w:r w:rsidRPr="00196438">
        <w:rPr>
          <w:rFonts w:ascii="Open Sans" w:eastAsia="Times New Roman" w:hAnsi="Open Sans" w:cs="Open Sans"/>
          <w:sz w:val="18"/>
          <w:szCs w:val="18"/>
          <w:u w:val="single"/>
          <w:lang w:eastAsia="ar-SA"/>
        </w:rPr>
        <w:t>pokiaľ ide o okolnosť, ktorej neuvedenie môže spochybniť možnosť spotrebiteľa posúdiť rozsah svojho záväzku</w:t>
      </w:r>
      <w:r w:rsidRPr="00196438">
        <w:rPr>
          <w:rStyle w:val="Odkaznapoznmkupodiarou"/>
          <w:rFonts w:ascii="Open Sans" w:eastAsia="Times New Roman" w:hAnsi="Open Sans" w:cs="Open Sans"/>
          <w:sz w:val="18"/>
          <w:szCs w:val="18"/>
          <w:u w:val="single"/>
          <w:lang w:eastAsia="ar-SA"/>
        </w:rPr>
        <w:footnoteReference w:id="8"/>
      </w:r>
      <w:r w:rsidRPr="00196438">
        <w:rPr>
          <w:rFonts w:ascii="Open Sans" w:eastAsia="Times New Roman" w:hAnsi="Open Sans" w:cs="Open Sans"/>
          <w:sz w:val="18"/>
          <w:szCs w:val="18"/>
          <w:lang w:eastAsia="ar-SA"/>
        </w:rPr>
        <w:t xml:space="preserve">. Avšak Zákon je opäť v priamom rozpore s výkladom Smernice, pretože Zákon </w:t>
      </w:r>
      <w:r w:rsidRPr="00196438">
        <w:rPr>
          <w:rFonts w:ascii="Open Sans" w:eastAsia="Times New Roman" w:hAnsi="Open Sans" w:cs="Open Sans"/>
          <w:i/>
          <w:sz w:val="18"/>
          <w:szCs w:val="18"/>
          <w:lang w:eastAsia="ar-SA"/>
        </w:rPr>
        <w:t>expressis verbis</w:t>
      </w:r>
      <w:r w:rsidRPr="00196438">
        <w:rPr>
          <w:rFonts w:ascii="Open Sans" w:eastAsia="Times New Roman" w:hAnsi="Open Sans" w:cs="Open Sans"/>
          <w:sz w:val="18"/>
          <w:szCs w:val="18"/>
          <w:lang w:eastAsia="ar-SA"/>
        </w:rPr>
        <w:t xml:space="preserve"> hovorí, kedy je zmluva o spotrebiteľskom úvere bezúročná a bez poplatkov.</w:t>
      </w:r>
      <w:r w:rsidRPr="00196438">
        <w:rPr>
          <w:rStyle w:val="Odkaznapoznmkupodiarou"/>
          <w:rFonts w:ascii="Open Sans" w:eastAsia="Times New Roman" w:hAnsi="Open Sans" w:cs="Open Sans"/>
          <w:sz w:val="18"/>
          <w:szCs w:val="18"/>
          <w:lang w:eastAsia="ar-SA"/>
        </w:rPr>
        <w:footnoteReference w:id="9"/>
      </w:r>
    </w:p>
    <w:p w14:paraId="7CC85370"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842752" w:rsidRPr="00196438" w14:paraId="7CC85375" w14:textId="77777777" w:rsidTr="00DC2388">
        <w:tc>
          <w:tcPr>
            <w:tcW w:w="4605" w:type="dxa"/>
            <w:shd w:val="clear" w:color="auto" w:fill="000000"/>
            <w:vAlign w:val="center"/>
          </w:tcPr>
          <w:p w14:paraId="7CC85371" w14:textId="77777777" w:rsidR="00842752" w:rsidRPr="00196438" w:rsidRDefault="00842752" w:rsidP="00DC2388">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Výklad Smernice Súdnym dvorom EÚ:</w:t>
            </w:r>
          </w:p>
        </w:tc>
        <w:tc>
          <w:tcPr>
            <w:tcW w:w="4606" w:type="dxa"/>
            <w:shd w:val="clear" w:color="auto" w:fill="000000"/>
            <w:vAlign w:val="center"/>
          </w:tcPr>
          <w:p w14:paraId="7CC85372" w14:textId="77777777" w:rsidR="00842752" w:rsidRPr="00196438" w:rsidRDefault="00842752" w:rsidP="00DC2388">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Požiadavka Zákona:</w:t>
            </w:r>
          </w:p>
          <w:p w14:paraId="7CC85373" w14:textId="77777777" w:rsidR="00842752" w:rsidRPr="00196438" w:rsidRDefault="00842752" w:rsidP="00DC2388">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p>
          <w:p w14:paraId="7CC85374" w14:textId="77777777" w:rsidR="00842752" w:rsidRPr="00196438" w:rsidRDefault="00842752" w:rsidP="00DC2388">
            <w:pPr>
              <w:tabs>
                <w:tab w:val="left" w:pos="708"/>
                <w:tab w:val="left" w:pos="6674"/>
              </w:tabs>
              <w:suppressAutoHyphens/>
              <w:spacing w:after="0"/>
              <w:jc w:val="center"/>
              <w:rPr>
                <w:rFonts w:ascii="Open Sans" w:eastAsia="Times New Roman" w:hAnsi="Open Sans" w:cs="Open Sans"/>
                <w:b/>
                <w:bCs/>
                <w:color w:val="FFFFFF"/>
                <w:sz w:val="18"/>
                <w:szCs w:val="18"/>
                <w:lang w:eastAsia="ar-SA"/>
              </w:rPr>
            </w:pPr>
            <w:r w:rsidRPr="00196438">
              <w:rPr>
                <w:rFonts w:ascii="Open Sans" w:eastAsia="Times New Roman" w:hAnsi="Open Sans" w:cs="Open Sans"/>
                <w:b/>
                <w:bCs/>
                <w:color w:val="FFFFFF"/>
                <w:sz w:val="18"/>
                <w:szCs w:val="18"/>
                <w:lang w:eastAsia="ar-SA"/>
              </w:rPr>
              <w:t>Zmluva o spotrebiteľskom úvere okrem všeobecných náležitostí podľa Občianskeho zákonníka musí obsahovať tieto náležitosti:</w:t>
            </w:r>
          </w:p>
        </w:tc>
      </w:tr>
      <w:tr w:rsidR="00842752" w:rsidRPr="00196438" w14:paraId="7CC85378" w14:textId="77777777" w:rsidTr="00842752">
        <w:trPr>
          <w:trHeight w:val="1694"/>
        </w:trPr>
        <w:tc>
          <w:tcPr>
            <w:tcW w:w="4605" w:type="dxa"/>
          </w:tcPr>
          <w:p w14:paraId="7CC85376" w14:textId="77777777" w:rsidR="00842752" w:rsidRPr="00196438" w:rsidRDefault="005D39A2" w:rsidP="00B420C3">
            <w:pPr>
              <w:tabs>
                <w:tab w:val="left" w:pos="708"/>
                <w:tab w:val="left" w:pos="6674"/>
              </w:tabs>
              <w:suppressAutoHyphens/>
              <w:spacing w:after="0"/>
              <w:jc w:val="both"/>
              <w:rPr>
                <w:rFonts w:ascii="Open Sans" w:eastAsia="Times New Roman" w:hAnsi="Open Sans" w:cs="Open Sans"/>
                <w:bCs/>
                <w:sz w:val="18"/>
                <w:szCs w:val="18"/>
                <w:lang w:eastAsia="ar-SA"/>
              </w:rPr>
            </w:pPr>
            <w:r w:rsidRPr="00196438">
              <w:rPr>
                <w:rFonts w:ascii="Open Sans" w:eastAsia="Times New Roman" w:hAnsi="Open Sans" w:cs="Open Sans"/>
                <w:sz w:val="18"/>
                <w:szCs w:val="18"/>
                <w:lang w:eastAsia="ar-SA"/>
              </w:rPr>
              <w:t>Č</w:t>
            </w:r>
            <w:r w:rsidR="00842752" w:rsidRPr="00196438">
              <w:rPr>
                <w:rFonts w:ascii="Open Sans" w:eastAsia="Times New Roman" w:hAnsi="Open Sans" w:cs="Open Sans"/>
                <w:sz w:val="18"/>
                <w:szCs w:val="18"/>
                <w:lang w:eastAsia="ar-SA"/>
              </w:rPr>
              <w:t xml:space="preserve">lánok 23 </w:t>
            </w:r>
            <w:r w:rsidRPr="00196438">
              <w:rPr>
                <w:rFonts w:ascii="Open Sans" w:eastAsia="Times New Roman" w:hAnsi="Open Sans" w:cs="Open Sans"/>
                <w:sz w:val="18"/>
                <w:szCs w:val="18"/>
                <w:lang w:eastAsia="ar-SA"/>
              </w:rPr>
              <w:t xml:space="preserve">Smernice </w:t>
            </w:r>
            <w:r w:rsidR="00842752" w:rsidRPr="00196438">
              <w:rPr>
                <w:rFonts w:ascii="Open Sans" w:eastAsia="Times New Roman" w:hAnsi="Open Sans" w:cs="Open Sans"/>
                <w:sz w:val="18"/>
                <w:szCs w:val="18"/>
                <w:lang w:eastAsia="ar-SA"/>
              </w:rPr>
              <w:t xml:space="preserve">sa má vykladať v tom zmysle, že nebráni tomu, aby členský štát vo svojej vnútroštátnej právnej úprave stanovil, že v prípade, ak zmluva o úvere neobsahuje všetky náležitosti uvedené v článku 10 ods. 2 tejto Smernice, táto zmluva sa bude považovať za zmluvu o úvere bez úrokov a poplatkov, </w:t>
            </w:r>
            <w:r w:rsidR="00842752" w:rsidRPr="00196438">
              <w:rPr>
                <w:rFonts w:ascii="Open Sans" w:eastAsia="Times New Roman" w:hAnsi="Open Sans" w:cs="Open Sans"/>
                <w:sz w:val="18"/>
                <w:szCs w:val="18"/>
                <w:u w:val="single"/>
                <w:lang w:eastAsia="ar-SA"/>
              </w:rPr>
              <w:t>pokiaľ ide o okolnosť, ktorej neuvedenie môže spochybniť možnosť spotrebiteľa posúdiť rozsah svojho záväzku</w:t>
            </w:r>
            <w:r w:rsidR="00842752" w:rsidRPr="00196438">
              <w:rPr>
                <w:rStyle w:val="Odkaznapoznmkupodiarou"/>
                <w:rFonts w:ascii="Open Sans" w:eastAsia="Times New Roman" w:hAnsi="Open Sans" w:cs="Open Sans"/>
                <w:sz w:val="18"/>
                <w:szCs w:val="18"/>
                <w:u w:val="single"/>
                <w:lang w:eastAsia="ar-SA"/>
              </w:rPr>
              <w:footnoteReference w:id="10"/>
            </w:r>
          </w:p>
        </w:tc>
        <w:tc>
          <w:tcPr>
            <w:tcW w:w="4606" w:type="dxa"/>
          </w:tcPr>
          <w:p w14:paraId="7CC85377" w14:textId="77777777" w:rsidR="00842752" w:rsidRPr="00196438" w:rsidRDefault="00842752" w:rsidP="005D39A2">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Poskytnutý spotrebiteľský úver sa považuje za bezúročný a bez poplatkov, ak</w:t>
            </w:r>
            <w:r w:rsidR="005D39A2" w:rsidRPr="00196438">
              <w:rPr>
                <w:rFonts w:ascii="Open Sans" w:eastAsia="Times New Roman" w:hAnsi="Open Sans" w:cs="Open Sans"/>
                <w:sz w:val="18"/>
                <w:szCs w:val="18"/>
                <w:lang w:eastAsia="ar-SA"/>
              </w:rPr>
              <w:t xml:space="preserve"> nastane jedna z okolností taxatívne </w:t>
            </w:r>
            <w:proofErr w:type="spellStart"/>
            <w:r w:rsidR="005D39A2" w:rsidRPr="00196438">
              <w:rPr>
                <w:rFonts w:ascii="Open Sans" w:eastAsia="Times New Roman" w:hAnsi="Open Sans" w:cs="Open Sans"/>
                <w:sz w:val="18"/>
                <w:szCs w:val="18"/>
                <w:lang w:eastAsia="ar-SA"/>
              </w:rPr>
              <w:t>vymenovanáv</w:t>
            </w:r>
            <w:proofErr w:type="spellEnd"/>
            <w:r w:rsidR="005D39A2" w:rsidRPr="00196438">
              <w:rPr>
                <w:rFonts w:ascii="Open Sans" w:eastAsia="Times New Roman" w:hAnsi="Open Sans" w:cs="Open Sans"/>
                <w:sz w:val="18"/>
                <w:szCs w:val="18"/>
                <w:lang w:eastAsia="ar-SA"/>
              </w:rPr>
              <w:t xml:space="preserve"> </w:t>
            </w:r>
            <w:proofErr w:type="spellStart"/>
            <w:r w:rsidR="005D39A2" w:rsidRPr="00196438">
              <w:rPr>
                <w:rFonts w:ascii="Open Sans" w:eastAsia="Times New Roman" w:hAnsi="Open Sans" w:cs="Open Sans"/>
                <w:sz w:val="18"/>
                <w:szCs w:val="18"/>
                <w:lang w:eastAsia="ar-SA"/>
              </w:rPr>
              <w:t>ust</w:t>
            </w:r>
            <w:proofErr w:type="spellEnd"/>
            <w:r w:rsidR="005D39A2" w:rsidRPr="00196438">
              <w:rPr>
                <w:rFonts w:ascii="Open Sans" w:eastAsia="Times New Roman" w:hAnsi="Open Sans" w:cs="Open Sans"/>
                <w:sz w:val="18"/>
                <w:szCs w:val="18"/>
                <w:lang w:eastAsia="ar-SA"/>
              </w:rPr>
              <w:t xml:space="preserve">. § 11 ods. 1 Zákona, napríklad ak </w:t>
            </w:r>
            <w:r w:rsidRPr="00196438">
              <w:rPr>
                <w:rFonts w:ascii="Open Sans" w:eastAsia="Times New Roman" w:hAnsi="Open Sans" w:cs="Open Sans"/>
                <w:sz w:val="18"/>
                <w:szCs w:val="18"/>
                <w:lang w:eastAsia="ar-SA"/>
              </w:rPr>
              <w:t xml:space="preserve">zmluva o spotrebiteľskom úvere neobsahuje náležitosti podľa § 9 ods. 2 písm. a) až l), s), z) a </w:t>
            </w:r>
            <w:proofErr w:type="spellStart"/>
            <w:r w:rsidRPr="00196438">
              <w:rPr>
                <w:rFonts w:ascii="Open Sans" w:eastAsia="Times New Roman" w:hAnsi="Open Sans" w:cs="Open Sans"/>
                <w:sz w:val="18"/>
                <w:szCs w:val="18"/>
                <w:lang w:eastAsia="ar-SA"/>
              </w:rPr>
              <w:t>aa</w:t>
            </w:r>
            <w:proofErr w:type="spellEnd"/>
            <w:r w:rsidRPr="00196438">
              <w:rPr>
                <w:rFonts w:ascii="Open Sans" w:eastAsia="Times New Roman" w:hAnsi="Open Sans" w:cs="Open Sans"/>
                <w:sz w:val="18"/>
                <w:szCs w:val="18"/>
                <w:lang w:eastAsia="ar-SA"/>
              </w:rPr>
              <w:t>)</w:t>
            </w:r>
            <w:r w:rsidR="005D39A2" w:rsidRPr="00196438">
              <w:rPr>
                <w:rFonts w:ascii="Open Sans" w:eastAsia="Times New Roman" w:hAnsi="Open Sans" w:cs="Open Sans"/>
                <w:sz w:val="18"/>
                <w:szCs w:val="18"/>
                <w:lang w:eastAsia="ar-SA"/>
              </w:rPr>
              <w:t xml:space="preserve"> Zákona.</w:t>
            </w:r>
          </w:p>
        </w:tc>
      </w:tr>
    </w:tbl>
    <w:p w14:paraId="7CC85379"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7A"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Z dôvodu vhodnosti si na tomto mieste dovoľuje</w:t>
      </w:r>
      <w:r w:rsidR="00D16ACF" w:rsidRPr="00196438">
        <w:rPr>
          <w:rFonts w:ascii="Open Sans" w:eastAsia="Times New Roman" w:hAnsi="Open Sans" w:cs="Open Sans"/>
          <w:sz w:val="18"/>
          <w:szCs w:val="18"/>
          <w:lang w:eastAsia="ar-SA"/>
        </w:rPr>
        <w:t>m</w:t>
      </w:r>
      <w:r w:rsidRPr="00196438">
        <w:rPr>
          <w:rFonts w:ascii="Open Sans" w:eastAsia="Times New Roman" w:hAnsi="Open Sans" w:cs="Open Sans"/>
          <w:sz w:val="18"/>
          <w:szCs w:val="18"/>
          <w:lang w:eastAsia="ar-SA"/>
        </w:rPr>
        <w:t xml:space="preserve"> vsunúť k</w:t>
      </w:r>
      <w:r w:rsidR="00842752" w:rsidRPr="00196438">
        <w:rPr>
          <w:rFonts w:ascii="Open Sans" w:eastAsia="Times New Roman" w:hAnsi="Open Sans" w:cs="Open Sans"/>
          <w:sz w:val="18"/>
          <w:szCs w:val="18"/>
          <w:lang w:eastAsia="ar-SA"/>
        </w:rPr>
        <w:t>rátku</w:t>
      </w:r>
      <w:r w:rsidR="00D16ACF" w:rsidRPr="00196438">
        <w:rPr>
          <w:rFonts w:ascii="Open Sans" w:eastAsia="Times New Roman" w:hAnsi="Open Sans" w:cs="Open Sans"/>
          <w:sz w:val="18"/>
          <w:szCs w:val="18"/>
          <w:lang w:eastAsia="ar-SA"/>
        </w:rPr>
        <w:t xml:space="preserve"> poznámk</w:t>
      </w:r>
      <w:r w:rsidR="00842752" w:rsidRPr="00196438">
        <w:rPr>
          <w:rFonts w:ascii="Open Sans" w:eastAsia="Times New Roman" w:hAnsi="Open Sans" w:cs="Open Sans"/>
          <w:sz w:val="18"/>
          <w:szCs w:val="18"/>
          <w:lang w:eastAsia="ar-SA"/>
        </w:rPr>
        <w:t>u</w:t>
      </w:r>
      <w:r w:rsidR="00D16ACF" w:rsidRPr="00196438">
        <w:rPr>
          <w:rFonts w:ascii="Open Sans" w:eastAsia="Times New Roman" w:hAnsi="Open Sans" w:cs="Open Sans"/>
          <w:sz w:val="18"/>
          <w:szCs w:val="18"/>
          <w:lang w:eastAsia="ar-SA"/>
        </w:rPr>
        <w:t xml:space="preserve"> k </w:t>
      </w:r>
      <w:r w:rsidR="00842752" w:rsidRPr="00196438">
        <w:rPr>
          <w:rFonts w:ascii="Open Sans" w:eastAsia="Times New Roman" w:hAnsi="Open Sans" w:cs="Open Sans"/>
          <w:sz w:val="18"/>
          <w:szCs w:val="18"/>
          <w:lang w:eastAsia="ar-SA"/>
        </w:rPr>
        <w:t>ustanoveniam</w:t>
      </w:r>
      <w:r w:rsidRPr="00196438">
        <w:rPr>
          <w:rFonts w:ascii="Open Sans" w:eastAsia="Times New Roman" w:hAnsi="Open Sans" w:cs="Open Sans"/>
          <w:sz w:val="18"/>
          <w:szCs w:val="18"/>
          <w:lang w:eastAsia="ar-SA"/>
        </w:rPr>
        <w:t xml:space="preserve"> Smernice a Zákona</w:t>
      </w:r>
      <w:r w:rsidR="00842752" w:rsidRPr="00196438">
        <w:rPr>
          <w:rFonts w:ascii="Open Sans" w:eastAsia="Times New Roman" w:hAnsi="Open Sans" w:cs="Open Sans"/>
          <w:sz w:val="18"/>
          <w:szCs w:val="18"/>
          <w:lang w:eastAsia="ar-SA"/>
        </w:rPr>
        <w:t xml:space="preserve"> o splátkach istiny, úrokov a poplatkov</w:t>
      </w:r>
      <w:r w:rsidRPr="00196438">
        <w:rPr>
          <w:rFonts w:ascii="Open Sans" w:eastAsia="Times New Roman" w:hAnsi="Open Sans" w:cs="Open Sans"/>
          <w:sz w:val="18"/>
          <w:szCs w:val="18"/>
          <w:lang w:eastAsia="ar-SA"/>
        </w:rPr>
        <w:t>, a ná</w:t>
      </w:r>
      <w:r w:rsidR="00D16ACF" w:rsidRPr="00196438">
        <w:rPr>
          <w:rFonts w:ascii="Open Sans" w:eastAsia="Times New Roman" w:hAnsi="Open Sans" w:cs="Open Sans"/>
          <w:sz w:val="18"/>
          <w:szCs w:val="18"/>
          <w:lang w:eastAsia="ar-SA"/>
        </w:rPr>
        <w:t>sledne sa v argumentácii vrátim</w:t>
      </w:r>
      <w:r w:rsidRPr="00196438">
        <w:rPr>
          <w:rFonts w:ascii="Open Sans" w:eastAsia="Times New Roman" w:hAnsi="Open Sans" w:cs="Open Sans"/>
          <w:sz w:val="18"/>
          <w:szCs w:val="18"/>
          <w:lang w:eastAsia="ar-SA"/>
        </w:rPr>
        <w:t xml:space="preserve"> k tomu, ako musia súdy vykladať právo v prípade konfliktu medzi smernicou ako prameňom práva EÚ a právom vnútroštátnym.</w:t>
      </w:r>
    </w:p>
    <w:p w14:paraId="7CC8537B"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7C"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u w:val="single"/>
          <w:lang w:eastAsia="ar-SA"/>
        </w:rPr>
        <w:t>Krátka poznámka k otázke členenia splátok úveru</w:t>
      </w:r>
    </w:p>
    <w:p w14:paraId="7CC8537D"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prvom rade si dovoľujem uviesť, že požiadavka Smernice</w:t>
      </w:r>
      <w:r w:rsidR="005D39A2" w:rsidRPr="00196438">
        <w:rPr>
          <w:rFonts w:ascii="Open Sans" w:eastAsia="Times New Roman" w:hAnsi="Open Sans" w:cs="Open Sans"/>
          <w:sz w:val="18"/>
          <w:szCs w:val="18"/>
          <w:lang w:eastAsia="ar-SA"/>
        </w:rPr>
        <w:t xml:space="preserve"> k otázke členenia splátok</w:t>
      </w:r>
      <w:r w:rsidRPr="00196438">
        <w:rPr>
          <w:rFonts w:ascii="Open Sans" w:eastAsia="Times New Roman" w:hAnsi="Open Sans" w:cs="Open Sans"/>
          <w:sz w:val="18"/>
          <w:szCs w:val="18"/>
          <w:lang w:eastAsia="ar-SA"/>
        </w:rPr>
        <w:t xml:space="preserve"> je tak jasná a zreteľná, že Okresný súd Dunajská Streda sa </w:t>
      </w:r>
      <w:r w:rsidR="005D39A2" w:rsidRPr="00196438">
        <w:rPr>
          <w:rFonts w:ascii="Open Sans" w:eastAsia="Times New Roman" w:hAnsi="Open Sans" w:cs="Open Sans"/>
          <w:sz w:val="18"/>
          <w:szCs w:val="18"/>
          <w:lang w:eastAsia="ar-SA"/>
        </w:rPr>
        <w:t>opäť nemal</w:t>
      </w:r>
      <w:r w:rsidRPr="00196438">
        <w:rPr>
          <w:rFonts w:ascii="Open Sans" w:eastAsia="Times New Roman" w:hAnsi="Open Sans" w:cs="Open Sans"/>
          <w:sz w:val="18"/>
          <w:szCs w:val="18"/>
          <w:lang w:eastAsia="ar-SA"/>
        </w:rPr>
        <w:t xml:space="preserve"> </w:t>
      </w:r>
      <w:r w:rsidR="005D39A2" w:rsidRPr="00196438">
        <w:rPr>
          <w:rFonts w:ascii="Open Sans" w:eastAsia="Times New Roman" w:hAnsi="Open Sans" w:cs="Open Sans"/>
          <w:sz w:val="18"/>
          <w:szCs w:val="18"/>
          <w:lang w:eastAsia="ar-SA"/>
        </w:rPr>
        <w:t xml:space="preserve">v zmysle doktríny </w:t>
      </w:r>
      <w:proofErr w:type="spellStart"/>
      <w:r w:rsidR="005D39A2" w:rsidRPr="00196438">
        <w:rPr>
          <w:rFonts w:ascii="Open Sans" w:eastAsia="Times New Roman" w:hAnsi="Open Sans" w:cs="Open Sans"/>
          <w:i/>
          <w:sz w:val="18"/>
          <w:szCs w:val="18"/>
          <w:lang w:eastAsia="ar-SA"/>
        </w:rPr>
        <w:t>acte</w:t>
      </w:r>
      <w:proofErr w:type="spellEnd"/>
      <w:r w:rsidR="005D39A2" w:rsidRPr="00196438">
        <w:rPr>
          <w:rFonts w:ascii="Open Sans" w:eastAsia="Times New Roman" w:hAnsi="Open Sans" w:cs="Open Sans"/>
          <w:i/>
          <w:sz w:val="18"/>
          <w:szCs w:val="18"/>
          <w:lang w:eastAsia="ar-SA"/>
        </w:rPr>
        <w:t xml:space="preserve"> </w:t>
      </w:r>
      <w:proofErr w:type="spellStart"/>
      <w:r w:rsidR="005D39A2" w:rsidRPr="00196438">
        <w:rPr>
          <w:rFonts w:ascii="Open Sans" w:eastAsia="Times New Roman" w:hAnsi="Open Sans" w:cs="Open Sans"/>
          <w:i/>
          <w:sz w:val="18"/>
          <w:szCs w:val="18"/>
          <w:lang w:eastAsia="ar-SA"/>
        </w:rPr>
        <w:t>claire</w:t>
      </w:r>
      <w:proofErr w:type="spellEnd"/>
      <w:r w:rsidR="005D39A2"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sz w:val="18"/>
          <w:szCs w:val="18"/>
          <w:lang w:eastAsia="ar-SA"/>
        </w:rPr>
        <w:t xml:space="preserve">pýtať Súdneho dvora EÚ, ako sa má toto ustanovenie vykladať, pretože zo slovného spojenia </w:t>
      </w:r>
      <w:r w:rsidR="005D39A2" w:rsidRPr="00196438">
        <w:rPr>
          <w:rFonts w:ascii="Open Sans" w:eastAsia="Times New Roman" w:hAnsi="Open Sans" w:cs="Open Sans"/>
          <w:sz w:val="18"/>
          <w:szCs w:val="18"/>
          <w:lang w:eastAsia="ar-SA"/>
        </w:rPr>
        <w:t xml:space="preserve">Smernice </w:t>
      </w:r>
      <w:r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lang w:eastAsia="ar-SA"/>
        </w:rPr>
        <w:t xml:space="preserve">výška, počet a frekvencia </w:t>
      </w:r>
      <w:r w:rsidRPr="00196438">
        <w:rPr>
          <w:rFonts w:ascii="Open Sans" w:eastAsia="Times New Roman" w:hAnsi="Open Sans" w:cs="Open Sans"/>
          <w:i/>
          <w:sz w:val="18"/>
          <w:szCs w:val="18"/>
          <w:u w:val="single"/>
          <w:lang w:eastAsia="ar-SA"/>
        </w:rPr>
        <w:t>splátok spotrebiteľa</w:t>
      </w:r>
      <w:r w:rsidRPr="00196438">
        <w:rPr>
          <w:rFonts w:ascii="Open Sans" w:eastAsia="Times New Roman" w:hAnsi="Open Sans" w:cs="Open Sans"/>
          <w:sz w:val="18"/>
          <w:szCs w:val="18"/>
          <w:lang w:eastAsia="ar-SA"/>
        </w:rPr>
        <w:t>" absolútne žiadnym výkladom nie je možné vyvodiť požiadavku, aby zmluva uvádzala splátky v členení na splátky istiny, splátky úrokov a splátky iných poplatkov. Preto Súdny dvor EÚ v Rozsudku C</w:t>
      </w:r>
      <w:r w:rsidRPr="00196438">
        <w:rPr>
          <w:rFonts w:ascii="Cambria Math" w:eastAsia="Times New Roman" w:hAnsi="Cambria Math" w:cs="Cambria Math"/>
          <w:sz w:val="18"/>
          <w:szCs w:val="18"/>
          <w:lang w:eastAsia="ar-SA"/>
        </w:rPr>
        <w:t>‑</w:t>
      </w:r>
      <w:r w:rsidRPr="00196438">
        <w:rPr>
          <w:rFonts w:ascii="Open Sans" w:eastAsia="Times New Roman" w:hAnsi="Open Sans" w:cs="Open Sans"/>
          <w:sz w:val="18"/>
          <w:szCs w:val="18"/>
          <w:lang w:eastAsia="ar-SA"/>
        </w:rPr>
        <w:t>42/15 správne rozhodol, že Smernica takéto členenie nepožaduje.</w:t>
      </w:r>
    </w:p>
    <w:p w14:paraId="7CC8537E"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7F"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lastRenderedPageBreak/>
        <w:t xml:space="preserve">Požiadavka Zákona je však od požiadavky Smernice </w:t>
      </w:r>
      <w:r w:rsidRPr="00196438">
        <w:rPr>
          <w:rFonts w:ascii="Open Sans" w:eastAsia="Times New Roman" w:hAnsi="Open Sans" w:cs="Open Sans"/>
          <w:i/>
          <w:sz w:val="18"/>
          <w:szCs w:val="18"/>
          <w:lang w:eastAsia="ar-SA"/>
        </w:rPr>
        <w:t>iná</w:t>
      </w:r>
      <w:r w:rsidRPr="00196438">
        <w:rPr>
          <w:rFonts w:ascii="Open Sans" w:eastAsia="Times New Roman" w:hAnsi="Open Sans" w:cs="Open Sans"/>
          <w:sz w:val="18"/>
          <w:szCs w:val="18"/>
          <w:lang w:eastAsia="ar-SA"/>
        </w:rPr>
        <w:t>. Zákon uvádza, že zmluvy musia obsahovať "</w:t>
      </w:r>
      <w:r w:rsidRPr="00196438">
        <w:rPr>
          <w:rFonts w:ascii="Open Sans" w:eastAsia="Times New Roman" w:hAnsi="Open Sans" w:cs="Open Sans"/>
          <w:i/>
          <w:sz w:val="18"/>
          <w:szCs w:val="18"/>
          <w:lang w:eastAsia="ar-SA"/>
        </w:rPr>
        <w:t xml:space="preserve">výšku, počet a termíny </w:t>
      </w:r>
      <w:r w:rsidRPr="00196438">
        <w:rPr>
          <w:rFonts w:ascii="Open Sans" w:eastAsia="Times New Roman" w:hAnsi="Open Sans" w:cs="Open Sans"/>
          <w:i/>
          <w:sz w:val="18"/>
          <w:szCs w:val="18"/>
          <w:u w:val="single"/>
          <w:lang w:eastAsia="ar-SA"/>
        </w:rPr>
        <w:t>splátok istiny, úrokov a iných poplatkov</w:t>
      </w:r>
      <w:r w:rsidRPr="00196438">
        <w:rPr>
          <w:rFonts w:ascii="Open Sans" w:eastAsia="Times New Roman" w:hAnsi="Open Sans" w:cs="Open Sans"/>
          <w:sz w:val="18"/>
          <w:szCs w:val="18"/>
          <w:lang w:eastAsia="ar-SA"/>
        </w:rPr>
        <w:t xml:space="preserve">". Niet absolútne žiadnych pochybností, že slovenský Zákon ide nad rámec Smernice a celkom jednoznačne požaduje vyjadrenie tak splátok istiny, ako aj splátok úrokov a splátok iných poplatkov. Ak by slovenský zákonodarca chcel vyjadriť to isté, čo požaduje Smernica, (ktorá navyše obsahuje požiadavku tzv. úplnej harmonizácie, teda zákaz odchýlenia od ustanovení Smernice vo vnútroštátnom práve), je zrejmé, že by použil takú </w:t>
      </w:r>
      <w:r w:rsidR="005D39A2" w:rsidRPr="00196438">
        <w:rPr>
          <w:rFonts w:ascii="Open Sans" w:eastAsia="Times New Roman" w:hAnsi="Open Sans" w:cs="Open Sans"/>
          <w:sz w:val="18"/>
          <w:szCs w:val="18"/>
          <w:lang w:eastAsia="ar-SA"/>
        </w:rPr>
        <w:t xml:space="preserve">istú </w:t>
      </w:r>
      <w:r w:rsidRPr="00196438">
        <w:rPr>
          <w:rFonts w:ascii="Open Sans" w:eastAsia="Times New Roman" w:hAnsi="Open Sans" w:cs="Open Sans"/>
          <w:sz w:val="18"/>
          <w:szCs w:val="18"/>
          <w:lang w:eastAsia="ar-SA"/>
        </w:rPr>
        <w:t xml:space="preserve">terminológiu ako používa Smernica. Avšak slovenský zákonodarca takúto terminológiu nepoužil, ale k termínu "splátky" pridal slová "istiny, úrokov a iných poplatkov". </w:t>
      </w:r>
      <w:r w:rsidR="00796F3B" w:rsidRPr="00196438">
        <w:rPr>
          <w:rFonts w:ascii="Open Sans" w:eastAsia="Times New Roman" w:hAnsi="Open Sans" w:cs="Open Sans"/>
          <w:sz w:val="18"/>
          <w:szCs w:val="18"/>
          <w:lang w:eastAsia="ar-SA"/>
        </w:rPr>
        <w:t>K výkladu tohto ustanovenia</w:t>
      </w:r>
      <w:r w:rsidR="005D39A2" w:rsidRPr="00196438">
        <w:rPr>
          <w:rFonts w:ascii="Open Sans" w:eastAsia="Times New Roman" w:hAnsi="Open Sans" w:cs="Open Sans"/>
          <w:sz w:val="18"/>
          <w:szCs w:val="18"/>
          <w:lang w:eastAsia="ar-SA"/>
        </w:rPr>
        <w:t xml:space="preserve"> Zákona</w:t>
      </w:r>
      <w:r w:rsidR="00796F3B" w:rsidRPr="00196438">
        <w:rPr>
          <w:rFonts w:ascii="Open Sans" w:eastAsia="Times New Roman" w:hAnsi="Open Sans" w:cs="Open Sans"/>
          <w:sz w:val="18"/>
          <w:szCs w:val="18"/>
          <w:lang w:eastAsia="ar-SA"/>
        </w:rPr>
        <w:t xml:space="preserve"> existuje k</w:t>
      </w:r>
      <w:r w:rsidRPr="00196438">
        <w:rPr>
          <w:rFonts w:ascii="Open Sans" w:eastAsia="Times New Roman" w:hAnsi="Open Sans" w:cs="Open Sans"/>
          <w:sz w:val="18"/>
          <w:szCs w:val="18"/>
          <w:lang w:eastAsia="ar-SA"/>
        </w:rPr>
        <w:t>onštantná judikatúra slovenských súdov</w:t>
      </w:r>
      <w:r w:rsidR="00796F3B" w:rsidRPr="00196438">
        <w:rPr>
          <w:rFonts w:ascii="Open Sans" w:eastAsia="Times New Roman" w:hAnsi="Open Sans" w:cs="Open Sans"/>
          <w:sz w:val="18"/>
          <w:szCs w:val="18"/>
          <w:lang w:eastAsia="ar-SA"/>
        </w:rPr>
        <w:t xml:space="preserve"> (potvrdená rozsudkami Najvyššieho súdu SR</w:t>
      </w:r>
      <w:r w:rsidR="00813CB8" w:rsidRPr="00196438">
        <w:rPr>
          <w:rFonts w:ascii="Open Sans" w:eastAsia="Times New Roman" w:hAnsi="Open Sans" w:cs="Open Sans"/>
          <w:sz w:val="18"/>
          <w:szCs w:val="18"/>
          <w:lang w:eastAsia="ar-SA"/>
        </w:rPr>
        <w:t>, desiatkami rozhodnutí krajských súdov a stovkami rozhodnutí okresných súdov SR</w:t>
      </w:r>
      <w:r w:rsidR="00A477A0" w:rsidRPr="00196438">
        <w:rPr>
          <w:rStyle w:val="Odkaznapoznmkupodiarou"/>
          <w:rFonts w:ascii="Open Sans" w:eastAsia="Times New Roman" w:hAnsi="Open Sans" w:cs="Open Sans"/>
          <w:sz w:val="18"/>
          <w:szCs w:val="18"/>
          <w:lang w:eastAsia="ar-SA"/>
        </w:rPr>
        <w:footnoteReference w:id="11"/>
      </w:r>
      <w:r w:rsidR="00796F3B" w:rsidRPr="00196438">
        <w:rPr>
          <w:rFonts w:ascii="Open Sans" w:eastAsia="Times New Roman" w:hAnsi="Open Sans" w:cs="Open Sans"/>
          <w:sz w:val="18"/>
          <w:szCs w:val="18"/>
          <w:lang w:eastAsia="ar-SA"/>
        </w:rPr>
        <w:t>)</w:t>
      </w:r>
      <w:r w:rsidRPr="00196438">
        <w:rPr>
          <w:rFonts w:ascii="Open Sans" w:eastAsia="Times New Roman" w:hAnsi="Open Sans" w:cs="Open Sans"/>
          <w:sz w:val="18"/>
          <w:szCs w:val="18"/>
          <w:lang w:eastAsia="ar-SA"/>
        </w:rPr>
        <w:t xml:space="preserve">, </w:t>
      </w:r>
      <w:r w:rsidR="00796F3B" w:rsidRPr="00196438">
        <w:rPr>
          <w:rFonts w:ascii="Open Sans" w:eastAsia="Times New Roman" w:hAnsi="Open Sans" w:cs="Open Sans"/>
          <w:sz w:val="18"/>
          <w:szCs w:val="18"/>
          <w:lang w:eastAsia="ar-SA"/>
        </w:rPr>
        <w:t xml:space="preserve">v zmysle ktorej sa má toto ustanovenie vykladať tak, že zmluva musí obsahovať vyjadrenie splátok istiny, splátok úrokov a splátok poplatkov, inak sa zmluva o spotrebiteľskom úvere považuje v zmysle </w:t>
      </w:r>
      <w:proofErr w:type="spellStart"/>
      <w:r w:rsidR="00796F3B" w:rsidRPr="00196438">
        <w:rPr>
          <w:rFonts w:ascii="Open Sans" w:eastAsia="Times New Roman" w:hAnsi="Open Sans" w:cs="Open Sans"/>
          <w:sz w:val="18"/>
          <w:szCs w:val="18"/>
          <w:lang w:eastAsia="ar-SA"/>
        </w:rPr>
        <w:t>ust</w:t>
      </w:r>
      <w:proofErr w:type="spellEnd"/>
      <w:r w:rsidR="00796F3B" w:rsidRPr="00196438">
        <w:rPr>
          <w:rFonts w:ascii="Open Sans" w:eastAsia="Times New Roman" w:hAnsi="Open Sans" w:cs="Open Sans"/>
          <w:sz w:val="18"/>
          <w:szCs w:val="18"/>
          <w:lang w:eastAsia="ar-SA"/>
        </w:rPr>
        <w:t xml:space="preserve">. § 11 ods. 1 písm. b) Zákona za bezúročnú a bez poplatkov </w:t>
      </w:r>
      <w:r w:rsidR="00923C5D" w:rsidRPr="00196438">
        <w:rPr>
          <w:rFonts w:ascii="Open Sans" w:eastAsia="Times New Roman" w:hAnsi="Open Sans" w:cs="Open Sans"/>
          <w:sz w:val="18"/>
          <w:szCs w:val="18"/>
          <w:lang w:eastAsia="ar-SA"/>
        </w:rPr>
        <w:t>(k relevantnej judikatúre všeobecných súdov SR poukážem v tomto príspevku nižšie)</w:t>
      </w:r>
      <w:r w:rsidRPr="00196438">
        <w:rPr>
          <w:rFonts w:ascii="Open Sans" w:eastAsia="Times New Roman" w:hAnsi="Open Sans" w:cs="Open Sans"/>
          <w:sz w:val="18"/>
          <w:szCs w:val="18"/>
          <w:lang w:eastAsia="ar-SA"/>
        </w:rPr>
        <w:t>.</w:t>
      </w:r>
    </w:p>
    <w:p w14:paraId="7CC85380" w14:textId="77777777" w:rsidR="00842752" w:rsidRPr="00196438" w:rsidRDefault="00842752"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81"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u w:val="single"/>
          <w:lang w:eastAsia="ar-SA"/>
        </w:rPr>
        <w:t>Späť k problematike rozporu medzi Smernicou a Zákonom a k postupu vnútroštátneho súdu</w:t>
      </w:r>
    </w:p>
    <w:p w14:paraId="7CC85382"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Ako </w:t>
      </w:r>
      <w:r w:rsidR="001A1808" w:rsidRPr="00196438">
        <w:rPr>
          <w:rFonts w:ascii="Open Sans" w:eastAsia="Times New Roman" w:hAnsi="Open Sans" w:cs="Open Sans"/>
          <w:sz w:val="18"/>
          <w:szCs w:val="18"/>
          <w:lang w:eastAsia="ar-SA"/>
        </w:rPr>
        <w:t>som</w:t>
      </w:r>
      <w:r w:rsidRPr="00196438">
        <w:rPr>
          <w:rFonts w:ascii="Open Sans" w:eastAsia="Times New Roman" w:hAnsi="Open Sans" w:cs="Open Sans"/>
          <w:sz w:val="18"/>
          <w:szCs w:val="18"/>
          <w:lang w:eastAsia="ar-SA"/>
        </w:rPr>
        <w:t xml:space="preserve"> </w:t>
      </w:r>
      <w:r w:rsidR="001A1808" w:rsidRPr="00196438">
        <w:rPr>
          <w:rFonts w:ascii="Open Sans" w:eastAsia="Times New Roman" w:hAnsi="Open Sans" w:cs="Open Sans"/>
          <w:sz w:val="18"/>
          <w:szCs w:val="18"/>
          <w:lang w:eastAsia="ar-SA"/>
        </w:rPr>
        <w:t xml:space="preserve">uviedol </w:t>
      </w:r>
      <w:r w:rsidRPr="00196438">
        <w:rPr>
          <w:rFonts w:ascii="Open Sans" w:eastAsia="Times New Roman" w:hAnsi="Open Sans" w:cs="Open Sans"/>
          <w:sz w:val="18"/>
          <w:szCs w:val="18"/>
          <w:lang w:eastAsia="ar-SA"/>
        </w:rPr>
        <w:t xml:space="preserve">vyššie, je tu zrejmý konflikt medzi Smernicou a Zákonom. </w:t>
      </w:r>
      <w:r w:rsidR="00764AC9" w:rsidRPr="00196438">
        <w:rPr>
          <w:rFonts w:ascii="Open Sans" w:eastAsia="Times New Roman" w:hAnsi="Open Sans" w:cs="Open Sans"/>
          <w:sz w:val="18"/>
          <w:szCs w:val="18"/>
          <w:lang w:eastAsia="ar-SA"/>
        </w:rPr>
        <w:t xml:space="preserve">To však neznamená, že sa automaticky uplatní Smernica. </w:t>
      </w:r>
      <w:r w:rsidRPr="00196438">
        <w:rPr>
          <w:rFonts w:ascii="Open Sans" w:eastAsia="Times New Roman" w:hAnsi="Open Sans" w:cs="Open Sans"/>
          <w:sz w:val="18"/>
          <w:szCs w:val="18"/>
          <w:lang w:eastAsia="ar-SA"/>
        </w:rPr>
        <w:t xml:space="preserve">V taktom prípade </w:t>
      </w:r>
      <w:r w:rsidR="00764AC9" w:rsidRPr="00196438">
        <w:rPr>
          <w:rFonts w:ascii="Open Sans" w:eastAsia="Times New Roman" w:hAnsi="Open Sans" w:cs="Open Sans"/>
          <w:sz w:val="18"/>
          <w:szCs w:val="18"/>
          <w:lang w:eastAsia="ar-SA"/>
        </w:rPr>
        <w:t xml:space="preserve">totiž </w:t>
      </w:r>
      <w:r w:rsidRPr="00196438">
        <w:rPr>
          <w:rFonts w:ascii="Open Sans" w:eastAsia="Times New Roman" w:hAnsi="Open Sans" w:cs="Open Sans"/>
          <w:sz w:val="18"/>
          <w:szCs w:val="18"/>
          <w:lang w:eastAsia="ar-SA"/>
        </w:rPr>
        <w:t xml:space="preserve">musí vnútroštátny súd skúmať, či môže Smernici priznať priamy účinok, a ak jej priamy účinok poskytnúť nemôže, tak či jej môže priznať nepriamy účinok (teda vykladať Zákon </w:t>
      </w:r>
      <w:proofErr w:type="spellStart"/>
      <w:r w:rsidRPr="00196438">
        <w:rPr>
          <w:rFonts w:ascii="Open Sans" w:eastAsia="Times New Roman" w:hAnsi="Open Sans" w:cs="Open Sans"/>
          <w:sz w:val="18"/>
          <w:szCs w:val="18"/>
          <w:lang w:eastAsia="ar-SA"/>
        </w:rPr>
        <w:t>eurokonformne</w:t>
      </w:r>
      <w:proofErr w:type="spellEnd"/>
      <w:r w:rsidRPr="00196438">
        <w:rPr>
          <w:rFonts w:ascii="Open Sans" w:eastAsia="Times New Roman" w:hAnsi="Open Sans" w:cs="Open Sans"/>
          <w:sz w:val="18"/>
          <w:szCs w:val="18"/>
          <w:lang w:eastAsia="ar-SA"/>
        </w:rPr>
        <w:t>), alebo či jej takýto nepriamy účinok priznať nemôže.</w:t>
      </w:r>
    </w:p>
    <w:p w14:paraId="7CC85383" w14:textId="77777777" w:rsidR="001A5F00" w:rsidRPr="00196438" w:rsidRDefault="001A5F00"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84" w14:textId="77777777" w:rsidR="001A5F00" w:rsidRPr="00196438" w:rsidRDefault="001A5F00"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tabuľke nižšie je graficky znázornený postup vnútroštátneho súdu pri aplikácii a výklade vnútroštátneho právneho predpisu po tom, ako vnútroštátny súd zistí, že vnútroštátny právny predpis je v konflikte so smernicou, ktorá je nielenže iba prameňom práva EÚ sekundárnej povahy, ale je záväzná iba pre členské štáty</w:t>
      </w:r>
      <w:r w:rsidR="00EB3658" w:rsidRPr="00196438">
        <w:rPr>
          <w:rStyle w:val="Odkaznapoznmkupodiarou"/>
          <w:rFonts w:ascii="Open Sans" w:eastAsia="Times New Roman" w:hAnsi="Open Sans" w:cs="Open Sans"/>
          <w:sz w:val="18"/>
          <w:szCs w:val="18"/>
          <w:lang w:eastAsia="ar-SA"/>
        </w:rPr>
        <w:footnoteReference w:id="12"/>
      </w:r>
      <w:r w:rsidRPr="00196438">
        <w:rPr>
          <w:rFonts w:ascii="Open Sans" w:eastAsia="Times New Roman" w:hAnsi="Open Sans" w:cs="Open Sans"/>
          <w:sz w:val="18"/>
          <w:szCs w:val="18"/>
          <w:lang w:eastAsia="ar-SA"/>
        </w:rPr>
        <w:t xml:space="preserve">, a nie pre fyzické a právnické osoby. </w:t>
      </w:r>
    </w:p>
    <w:p w14:paraId="7CC85385" w14:textId="77777777" w:rsidR="001A1808" w:rsidRPr="00196438" w:rsidRDefault="001A1808"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86"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b/>
          <w:sz w:val="18"/>
          <w:szCs w:val="18"/>
          <w:u w:val="single"/>
          <w:lang w:eastAsia="ar-SA"/>
        </w:rPr>
      </w:pPr>
      <w:r w:rsidRPr="00196438">
        <w:rPr>
          <w:rFonts w:ascii="Open Sans" w:eastAsia="Times New Roman" w:hAnsi="Open Sans" w:cs="Open Sans"/>
          <w:noProof/>
          <w:sz w:val="18"/>
          <w:szCs w:val="18"/>
          <w:lang w:eastAsia="sk-SK"/>
        </w:rPr>
        <w:lastRenderedPageBreak/>
        <w:drawing>
          <wp:inline distT="0" distB="0" distL="0" distR="0" wp14:anchorId="7CC853F6" wp14:editId="7CC853F7">
            <wp:extent cx="5760720" cy="4417695"/>
            <wp:effectExtent l="19050" t="0" r="0" b="0"/>
            <wp:docPr id="1" name="Obrázok 0" descr="tabulka postupu sudov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ulka postupu sudov_final.png"/>
                    <pic:cNvPicPr/>
                  </pic:nvPicPr>
                  <pic:blipFill>
                    <a:blip r:embed="rId8" cstate="print"/>
                    <a:stretch>
                      <a:fillRect/>
                    </a:stretch>
                  </pic:blipFill>
                  <pic:spPr>
                    <a:xfrm>
                      <a:off x="0" y="0"/>
                      <a:ext cx="5760720" cy="4417695"/>
                    </a:xfrm>
                    <a:prstGeom prst="rect">
                      <a:avLst/>
                    </a:prstGeom>
                  </pic:spPr>
                </pic:pic>
              </a:graphicData>
            </a:graphic>
          </wp:inline>
        </w:drawing>
      </w:r>
    </w:p>
    <w:p w14:paraId="7CC85387"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b/>
          <w:sz w:val="18"/>
          <w:szCs w:val="18"/>
          <w:u w:val="single"/>
          <w:lang w:eastAsia="ar-SA"/>
        </w:rPr>
      </w:pPr>
    </w:p>
    <w:p w14:paraId="7CC85388" w14:textId="77777777" w:rsidR="008C3E35"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b/>
          <w:sz w:val="18"/>
          <w:szCs w:val="18"/>
          <w:lang w:eastAsia="ar-SA"/>
        </w:rPr>
        <w:t>4.1 Ad p</w:t>
      </w:r>
      <w:r w:rsidR="008C3E35" w:rsidRPr="00196438">
        <w:rPr>
          <w:rFonts w:ascii="Open Sans" w:eastAsia="Times New Roman" w:hAnsi="Open Sans" w:cs="Open Sans"/>
          <w:b/>
          <w:sz w:val="18"/>
          <w:szCs w:val="18"/>
          <w:lang w:eastAsia="ar-SA"/>
        </w:rPr>
        <w:t>riamy účinok</w:t>
      </w:r>
    </w:p>
    <w:p w14:paraId="7CC85389" w14:textId="77777777" w:rsidR="00704B68" w:rsidRPr="00196438" w:rsidRDefault="00704B68"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8A" w14:textId="77777777" w:rsidR="008C3E35" w:rsidRPr="00196438" w:rsidRDefault="0094028D"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Otázka priameho účinku </w:t>
      </w:r>
      <w:r w:rsidR="00EB3658" w:rsidRPr="00196438">
        <w:rPr>
          <w:rFonts w:ascii="Open Sans" w:eastAsia="Times New Roman" w:hAnsi="Open Sans" w:cs="Open Sans"/>
          <w:sz w:val="18"/>
          <w:szCs w:val="18"/>
          <w:lang w:eastAsia="ar-SA"/>
        </w:rPr>
        <w:t xml:space="preserve">smerníc </w:t>
      </w:r>
      <w:r w:rsidRPr="00196438">
        <w:rPr>
          <w:rFonts w:ascii="Open Sans" w:eastAsia="Times New Roman" w:hAnsi="Open Sans" w:cs="Open Sans"/>
          <w:sz w:val="18"/>
          <w:szCs w:val="18"/>
          <w:lang w:eastAsia="ar-SA"/>
        </w:rPr>
        <w:t xml:space="preserve">sa vo všeobecnosti v podstate týka vymedzenia podmienok, </w:t>
      </w:r>
      <w:r w:rsidRPr="00196438">
        <w:rPr>
          <w:rFonts w:ascii="Open Sans" w:eastAsia="Times New Roman" w:hAnsi="Open Sans" w:cs="Open Sans"/>
          <w:sz w:val="18"/>
          <w:szCs w:val="18"/>
          <w:u w:val="single"/>
          <w:lang w:eastAsia="ar-SA"/>
        </w:rPr>
        <w:t>za ktorých vnútroštátne orgány môžu určitú normu práva Únie aplikovať priamo, bezprostredne, na prípad, ktorý riešia</w:t>
      </w:r>
      <w:r w:rsidRPr="00196438">
        <w:rPr>
          <w:rFonts w:ascii="Open Sans" w:eastAsia="Times New Roman" w:hAnsi="Open Sans" w:cs="Open Sans"/>
          <w:sz w:val="18"/>
          <w:szCs w:val="18"/>
          <w:lang w:eastAsia="ar-SA"/>
        </w:rPr>
        <w:t xml:space="preserve">. </w:t>
      </w:r>
      <w:r w:rsidR="008C3E35" w:rsidRPr="00196438">
        <w:rPr>
          <w:rFonts w:ascii="Open Sans" w:eastAsia="Times New Roman" w:hAnsi="Open Sans" w:cs="Open Sans"/>
          <w:sz w:val="18"/>
          <w:szCs w:val="18"/>
          <w:lang w:eastAsia="ar-SA"/>
        </w:rPr>
        <w:t>Vzhľadom na existenciu ustálenej judikatúry Súdneho dvora EÚ na otázku priameho účinku smerníc v spore medzi jednotlivcami (v tomto konkrétnom prípade veriteľ verzus spotrebiteľ) v zásade platí zákaz horizontálneho priameho účinku spočívajúci v tom, že žiadne ustanovenie smernice zaručujúce jednotlivcovi práva alebo ukladajúce povinnosti ako také sa nemôže použiť v rámci sporu, v ktorom stoja proti sebe výhradne jednotlivci (pozn.: priamy účinok je tak v zásade možný len v spore medzi jednotlivcom a štátom, kedy sa jednotlivec dovolá svojho práva vyplývajúceho zo smernice priamo voči štátu ako subjektu zodpovednému za nesp</w:t>
      </w:r>
      <w:r w:rsidR="00842752" w:rsidRPr="00196438">
        <w:rPr>
          <w:rFonts w:ascii="Open Sans" w:eastAsia="Times New Roman" w:hAnsi="Open Sans" w:cs="Open Sans"/>
          <w:sz w:val="18"/>
          <w:szCs w:val="18"/>
          <w:lang w:eastAsia="ar-SA"/>
        </w:rPr>
        <w:t>rávne implementovanie smernice)</w:t>
      </w:r>
      <w:r w:rsidR="008C3E35" w:rsidRPr="00196438">
        <w:rPr>
          <w:rFonts w:ascii="Open Sans" w:eastAsia="Times New Roman" w:hAnsi="Open Sans" w:cs="Open Sans"/>
          <w:sz w:val="18"/>
          <w:szCs w:val="18"/>
          <w:lang w:eastAsia="ar-SA"/>
        </w:rPr>
        <w:t xml:space="preserve">. V tejto súvislosti nižšie v skratke poukazujeme na relevantné judikáty ESD. </w:t>
      </w:r>
    </w:p>
    <w:p w14:paraId="7CC8538B" w14:textId="77777777" w:rsidR="008C3E35" w:rsidRPr="00196438" w:rsidRDefault="008C3E35" w:rsidP="008C3E35">
      <w:pPr>
        <w:spacing w:after="0"/>
        <w:contextualSpacing/>
        <w:jc w:val="both"/>
        <w:rPr>
          <w:rFonts w:ascii="Open Sans" w:eastAsia="Times New Roman" w:hAnsi="Open Sans" w:cs="Open Sans"/>
          <w:sz w:val="18"/>
          <w:szCs w:val="18"/>
          <w:lang w:eastAsia="ar-SA"/>
        </w:rPr>
      </w:pPr>
    </w:p>
    <w:p w14:paraId="7CC8538C" w14:textId="77777777" w:rsidR="008C3E35" w:rsidRPr="00196438" w:rsidRDefault="008C3E35" w:rsidP="008C3E35">
      <w:pPr>
        <w:spacing w:after="0"/>
        <w:contextualSpacing/>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Prípadom, ktorý otázku horizontálneho priameho účinku otvoril, bola vec </w:t>
      </w:r>
      <w:proofErr w:type="spellStart"/>
      <w:r w:rsidRPr="00196438">
        <w:rPr>
          <w:rFonts w:ascii="Open Sans" w:eastAsia="Times New Roman" w:hAnsi="Open Sans" w:cs="Open Sans"/>
          <w:i/>
          <w:sz w:val="18"/>
          <w:szCs w:val="18"/>
          <w:lang w:eastAsia="ar-SA"/>
        </w:rPr>
        <w:t>Marshall</w:t>
      </w:r>
      <w:proofErr w:type="spellEnd"/>
      <w:r w:rsidRPr="00196438">
        <w:rPr>
          <w:rFonts w:ascii="Open Sans" w:eastAsia="Times New Roman" w:hAnsi="Open Sans" w:cs="Open Sans"/>
          <w:sz w:val="18"/>
          <w:szCs w:val="18"/>
          <w:lang w:eastAsia="ar-SA"/>
        </w:rPr>
        <w:t>, C-152/84, rozsudok zo dňa 26.2.1986</w:t>
      </w:r>
      <w:r w:rsidR="00EB3658" w:rsidRPr="00196438">
        <w:rPr>
          <w:rFonts w:ascii="Open Sans" w:eastAsia="Times New Roman" w:hAnsi="Open Sans" w:cs="Open Sans"/>
          <w:sz w:val="18"/>
          <w:szCs w:val="18"/>
          <w:lang w:eastAsia="ar-SA"/>
        </w:rPr>
        <w:t>, v zmysle ktorého</w:t>
      </w:r>
      <w:r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i/>
          <w:sz w:val="18"/>
          <w:szCs w:val="18"/>
          <w:lang w:eastAsia="ar-SA"/>
        </w:rPr>
        <w:t>smernica nemôže sama o sebe zakladať jednotlivcovi povinnosť a ustanovení smernice nie je možné sa voči takejto osobe dovolávať</w:t>
      </w:r>
      <w:r w:rsidR="00EB3658" w:rsidRPr="00196438">
        <w:rPr>
          <w:rStyle w:val="Odkaznapoznmkupodiarou"/>
          <w:rFonts w:ascii="Open Sans" w:eastAsia="Times New Roman" w:hAnsi="Open Sans" w:cs="Open Sans"/>
          <w:i/>
          <w:sz w:val="18"/>
          <w:szCs w:val="18"/>
          <w:lang w:eastAsia="ar-SA"/>
        </w:rPr>
        <w:footnoteReference w:id="13"/>
      </w:r>
      <w:r w:rsidRPr="00196438">
        <w:rPr>
          <w:rFonts w:ascii="Open Sans" w:eastAsia="Times New Roman" w:hAnsi="Open Sans" w:cs="Open Sans"/>
          <w:sz w:val="18"/>
          <w:szCs w:val="18"/>
          <w:lang w:eastAsia="ar-SA"/>
        </w:rPr>
        <w:t>".</w:t>
      </w:r>
    </w:p>
    <w:p w14:paraId="7CC8538D" w14:textId="77777777" w:rsidR="008C3E35" w:rsidRPr="00196438" w:rsidRDefault="008C3E35" w:rsidP="008C3E35">
      <w:pPr>
        <w:spacing w:after="0"/>
        <w:contextualSpacing/>
        <w:jc w:val="both"/>
        <w:rPr>
          <w:rFonts w:ascii="Open Sans" w:eastAsia="Times New Roman" w:hAnsi="Open Sans" w:cs="Open Sans"/>
          <w:sz w:val="18"/>
          <w:szCs w:val="18"/>
          <w:lang w:eastAsia="ar-SA"/>
        </w:rPr>
      </w:pPr>
    </w:p>
    <w:p w14:paraId="7CC8538E" w14:textId="77777777" w:rsidR="008C3E35" w:rsidRPr="00196438" w:rsidRDefault="008C3E35" w:rsidP="008C3E35">
      <w:pPr>
        <w:spacing w:after="0"/>
        <w:contextualSpacing/>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Argumentáciu v prospech zákazu horizontálneho priameho účinku potom Súdny dvor Európskej únie ďalej rozvinul vo veci </w:t>
      </w:r>
      <w:proofErr w:type="spellStart"/>
      <w:r w:rsidRPr="00196438">
        <w:rPr>
          <w:rFonts w:ascii="Open Sans" w:eastAsia="Times New Roman" w:hAnsi="Open Sans" w:cs="Open Sans"/>
          <w:i/>
          <w:sz w:val="18"/>
          <w:szCs w:val="18"/>
          <w:lang w:eastAsia="ar-SA"/>
        </w:rPr>
        <w:t>Faccini</w:t>
      </w:r>
      <w:proofErr w:type="spellEnd"/>
      <w:r w:rsidRPr="00196438">
        <w:rPr>
          <w:rFonts w:ascii="Open Sans" w:eastAsia="Times New Roman" w:hAnsi="Open Sans" w:cs="Open Sans"/>
          <w:i/>
          <w:sz w:val="18"/>
          <w:szCs w:val="18"/>
          <w:lang w:eastAsia="ar-SA"/>
        </w:rPr>
        <w:t xml:space="preserve"> </w:t>
      </w:r>
      <w:proofErr w:type="spellStart"/>
      <w:r w:rsidRPr="00196438">
        <w:rPr>
          <w:rFonts w:ascii="Open Sans" w:eastAsia="Times New Roman" w:hAnsi="Open Sans" w:cs="Open Sans"/>
          <w:i/>
          <w:sz w:val="18"/>
          <w:szCs w:val="18"/>
          <w:lang w:eastAsia="ar-SA"/>
        </w:rPr>
        <w:t>Dori</w:t>
      </w:r>
      <w:proofErr w:type="spellEnd"/>
      <w:r w:rsidRPr="00196438">
        <w:rPr>
          <w:rFonts w:ascii="Open Sans" w:eastAsia="Times New Roman" w:hAnsi="Open Sans" w:cs="Open Sans"/>
          <w:sz w:val="18"/>
          <w:szCs w:val="18"/>
          <w:lang w:eastAsia="ar-SA"/>
        </w:rPr>
        <w:t xml:space="preserve">, C-91/92, rozsudok zo dňa 14.7.1994, keď síce uznal priamy účinok smernice, ale len voči štátu, nikdy nie v spore proti jednotlivcovi. </w:t>
      </w:r>
      <w:r w:rsidR="00EB3658" w:rsidRPr="00196438">
        <w:rPr>
          <w:rFonts w:ascii="Open Sans" w:eastAsia="Times New Roman" w:hAnsi="Open Sans" w:cs="Open Sans"/>
          <w:sz w:val="18"/>
          <w:szCs w:val="18"/>
          <w:lang w:eastAsia="ar-SA"/>
        </w:rPr>
        <w:t xml:space="preserve">Ako vyplýva z tohto rozsudku, </w:t>
      </w:r>
      <w:r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lang w:eastAsia="ar-SA"/>
        </w:rPr>
        <w:t xml:space="preserve">Ako Súdny dvor zdôraznil v </w:t>
      </w:r>
      <w:r w:rsidRPr="00196438">
        <w:rPr>
          <w:rFonts w:ascii="Open Sans" w:eastAsia="Times New Roman" w:hAnsi="Open Sans" w:cs="Open Sans"/>
          <w:i/>
          <w:sz w:val="18"/>
          <w:szCs w:val="18"/>
          <w:lang w:eastAsia="ar-SA"/>
        </w:rPr>
        <w:lastRenderedPageBreak/>
        <w:t xml:space="preserve">ustálenej judikatúre od rozsudku z 26. februára 1986, </w:t>
      </w:r>
      <w:proofErr w:type="spellStart"/>
      <w:r w:rsidRPr="00196438">
        <w:rPr>
          <w:rFonts w:ascii="Open Sans" w:eastAsia="Times New Roman" w:hAnsi="Open Sans" w:cs="Open Sans"/>
          <w:i/>
          <w:sz w:val="18"/>
          <w:szCs w:val="18"/>
          <w:lang w:eastAsia="ar-SA"/>
        </w:rPr>
        <w:t>Marshall</w:t>
      </w:r>
      <w:proofErr w:type="spellEnd"/>
      <w:r w:rsidRPr="00196438">
        <w:rPr>
          <w:rFonts w:ascii="Open Sans" w:eastAsia="Times New Roman" w:hAnsi="Open Sans" w:cs="Open Sans"/>
          <w:i/>
          <w:sz w:val="18"/>
          <w:szCs w:val="18"/>
          <w:lang w:eastAsia="ar-SA"/>
        </w:rPr>
        <w:t xml:space="preserve"> (152/84, Zb. s. 723, bod 48), samotná smernica nemôže ukladať povinnosti jednotlivcovi, takže sa na ňu ako takú nemožno proti nemu odvolávať</w:t>
      </w:r>
      <w:r w:rsidR="00EB3658" w:rsidRPr="00196438">
        <w:rPr>
          <w:rStyle w:val="Odkaznapoznmkupodiarou"/>
          <w:rFonts w:ascii="Open Sans" w:eastAsia="Times New Roman" w:hAnsi="Open Sans" w:cs="Open Sans"/>
          <w:i/>
          <w:sz w:val="18"/>
          <w:szCs w:val="18"/>
          <w:lang w:eastAsia="ar-SA"/>
        </w:rPr>
        <w:footnoteReference w:id="14"/>
      </w:r>
      <w:r w:rsidRPr="00196438">
        <w:rPr>
          <w:rFonts w:ascii="Open Sans" w:eastAsia="Times New Roman" w:hAnsi="Open Sans" w:cs="Open Sans"/>
          <w:sz w:val="18"/>
          <w:szCs w:val="18"/>
          <w:lang w:eastAsia="ar-SA"/>
        </w:rPr>
        <w:t>".</w:t>
      </w:r>
    </w:p>
    <w:p w14:paraId="7CC8538F" w14:textId="77777777" w:rsidR="008C3E35" w:rsidRPr="00196438" w:rsidRDefault="008C3E35" w:rsidP="008C3E35">
      <w:pPr>
        <w:spacing w:after="0"/>
        <w:contextualSpacing/>
        <w:jc w:val="both"/>
        <w:rPr>
          <w:rFonts w:ascii="Open Sans" w:eastAsia="Times New Roman" w:hAnsi="Open Sans" w:cs="Open Sans"/>
          <w:sz w:val="18"/>
          <w:szCs w:val="18"/>
          <w:lang w:eastAsia="ar-SA"/>
        </w:rPr>
      </w:pPr>
    </w:p>
    <w:p w14:paraId="7CC85390" w14:textId="77777777" w:rsidR="008C3E35" w:rsidRPr="00196438" w:rsidRDefault="008C3E35" w:rsidP="008C3E35">
      <w:pPr>
        <w:spacing w:after="0"/>
        <w:contextualSpacing/>
        <w:jc w:val="both"/>
        <w:rPr>
          <w:rFonts w:ascii="Open Sans" w:eastAsia="Calibri" w:hAnsi="Open Sans" w:cs="Open Sans"/>
          <w:sz w:val="18"/>
          <w:szCs w:val="18"/>
          <w:u w:val="single"/>
        </w:rPr>
      </w:pPr>
      <w:r w:rsidRPr="00196438">
        <w:rPr>
          <w:rFonts w:ascii="Open Sans" w:eastAsia="Times New Roman" w:hAnsi="Open Sans" w:cs="Open Sans"/>
          <w:sz w:val="18"/>
          <w:szCs w:val="18"/>
          <w:lang w:eastAsia="ar-SA"/>
        </w:rPr>
        <w:t xml:space="preserve">Celkom zásadným prípadom pre vymedzenie horizontálneho priameho účinku </w:t>
      </w:r>
      <w:r w:rsidR="00EB3658" w:rsidRPr="00196438">
        <w:rPr>
          <w:rFonts w:ascii="Open Sans" w:eastAsia="Times New Roman" w:hAnsi="Open Sans" w:cs="Open Sans"/>
          <w:sz w:val="18"/>
          <w:szCs w:val="18"/>
          <w:lang w:eastAsia="ar-SA"/>
        </w:rPr>
        <w:t xml:space="preserve">smerníc </w:t>
      </w:r>
      <w:r w:rsidRPr="00196438">
        <w:rPr>
          <w:rFonts w:ascii="Open Sans" w:eastAsia="Times New Roman" w:hAnsi="Open Sans" w:cs="Open Sans"/>
          <w:sz w:val="18"/>
          <w:szCs w:val="18"/>
          <w:lang w:eastAsia="ar-SA"/>
        </w:rPr>
        <w:t xml:space="preserve">je vec </w:t>
      </w:r>
      <w:proofErr w:type="spellStart"/>
      <w:r w:rsidRPr="00196438">
        <w:rPr>
          <w:rFonts w:ascii="Open Sans" w:eastAsia="Times New Roman" w:hAnsi="Open Sans" w:cs="Open Sans"/>
          <w:i/>
          <w:sz w:val="18"/>
          <w:szCs w:val="18"/>
          <w:lang w:eastAsia="ar-SA"/>
        </w:rPr>
        <w:t>Pfeiffer</w:t>
      </w:r>
      <w:proofErr w:type="spellEnd"/>
      <w:r w:rsidRPr="00196438">
        <w:rPr>
          <w:rFonts w:ascii="Open Sans" w:eastAsia="Times New Roman" w:hAnsi="Open Sans" w:cs="Open Sans"/>
          <w:sz w:val="18"/>
          <w:szCs w:val="18"/>
          <w:lang w:eastAsia="ar-SA"/>
        </w:rPr>
        <w:t>, C-397/01 až C-403/01, rozsudok zo dňa 05.10.2004</w:t>
      </w:r>
      <w:r w:rsidR="00EB3658" w:rsidRPr="00196438">
        <w:rPr>
          <w:rFonts w:ascii="Open Sans" w:eastAsia="Times New Roman" w:hAnsi="Open Sans" w:cs="Open Sans"/>
          <w:sz w:val="18"/>
          <w:szCs w:val="18"/>
          <w:lang w:eastAsia="ar-SA"/>
        </w:rPr>
        <w:t xml:space="preserve">, v zmysle ktorého </w:t>
      </w:r>
      <w:r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lang w:eastAsia="ar-SA"/>
        </w:rPr>
        <w:t>Z toho vyplýva, že sa nemôže hoci aj jasné, presné a bezpodmienečné ustanovenie smernice zaručujúce jednotlivcovi práva alebo ukladajúce povinnosti ako také použiť v rámci sporu, v ktorom stoja proti sebe výhradne jednotlivci</w:t>
      </w:r>
      <w:r w:rsidR="00EB3658" w:rsidRPr="00196438">
        <w:rPr>
          <w:rStyle w:val="Odkaznapoznmkupodiarou"/>
          <w:rFonts w:ascii="Open Sans" w:eastAsia="Times New Roman" w:hAnsi="Open Sans" w:cs="Open Sans"/>
          <w:i/>
          <w:sz w:val="18"/>
          <w:szCs w:val="18"/>
          <w:lang w:eastAsia="ar-SA"/>
        </w:rPr>
        <w:footnoteReference w:id="15"/>
      </w:r>
      <w:r w:rsidRPr="00196438">
        <w:rPr>
          <w:rFonts w:ascii="Open Sans" w:eastAsia="Times New Roman" w:hAnsi="Open Sans" w:cs="Open Sans"/>
          <w:sz w:val="18"/>
          <w:szCs w:val="18"/>
          <w:lang w:eastAsia="ar-SA"/>
        </w:rPr>
        <w:t>".</w:t>
      </w:r>
    </w:p>
    <w:p w14:paraId="7CC85391"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92"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Určitý odklon od klasickej doktríny </w:t>
      </w:r>
      <w:r w:rsidR="00EB3658" w:rsidRPr="00196438">
        <w:rPr>
          <w:rFonts w:ascii="Open Sans" w:eastAsia="Times New Roman" w:hAnsi="Open Sans" w:cs="Open Sans"/>
          <w:sz w:val="18"/>
          <w:szCs w:val="18"/>
          <w:lang w:eastAsia="ar-SA"/>
        </w:rPr>
        <w:t xml:space="preserve">síce na prvý pohľad môže predstavovať </w:t>
      </w:r>
      <w:r w:rsidRPr="00196438">
        <w:rPr>
          <w:rFonts w:ascii="Open Sans" w:eastAsia="Times New Roman" w:hAnsi="Open Sans" w:cs="Open Sans"/>
          <w:sz w:val="18"/>
          <w:szCs w:val="18"/>
          <w:lang w:eastAsia="ar-SA"/>
        </w:rPr>
        <w:t xml:space="preserve">prípad </w:t>
      </w:r>
      <w:proofErr w:type="spellStart"/>
      <w:r w:rsidRPr="00196438">
        <w:rPr>
          <w:rFonts w:ascii="Open Sans" w:eastAsia="Times New Roman" w:hAnsi="Open Sans" w:cs="Open Sans"/>
          <w:i/>
          <w:sz w:val="18"/>
          <w:szCs w:val="18"/>
          <w:lang w:eastAsia="ar-SA"/>
        </w:rPr>
        <w:t>Seda</w:t>
      </w:r>
      <w:proofErr w:type="spellEnd"/>
      <w:r w:rsidRPr="00196438">
        <w:rPr>
          <w:rFonts w:ascii="Open Sans" w:eastAsia="Times New Roman" w:hAnsi="Open Sans" w:cs="Open Sans"/>
          <w:i/>
          <w:sz w:val="18"/>
          <w:szCs w:val="18"/>
          <w:lang w:eastAsia="ar-SA"/>
        </w:rPr>
        <w:t xml:space="preserve"> </w:t>
      </w:r>
      <w:proofErr w:type="spellStart"/>
      <w:r w:rsidRPr="00196438">
        <w:rPr>
          <w:rFonts w:ascii="Open Sans" w:eastAsia="Times New Roman" w:hAnsi="Open Sans" w:cs="Open Sans"/>
          <w:i/>
          <w:sz w:val="18"/>
          <w:szCs w:val="18"/>
          <w:lang w:eastAsia="ar-SA"/>
        </w:rPr>
        <w:t>Kűcűkdeveci</w:t>
      </w:r>
      <w:proofErr w:type="spellEnd"/>
      <w:r w:rsidRPr="00196438">
        <w:rPr>
          <w:rFonts w:ascii="Open Sans" w:eastAsia="Times New Roman" w:hAnsi="Open Sans" w:cs="Open Sans"/>
          <w:sz w:val="18"/>
          <w:szCs w:val="18"/>
          <w:lang w:eastAsia="ar-SA"/>
        </w:rPr>
        <w:t xml:space="preserve"> C-555/07, kde však Súdny dvor Európskej únie neargumentuje rozporom medzi vnútroštátnym predpisom a smernicou, ale medzi vnútroštátnym predpisom a všeobecnou zásadou (nediskriminácie)</w:t>
      </w:r>
      <w:r w:rsidR="00EB3658" w:rsidRPr="00196438">
        <w:rPr>
          <w:rFonts w:ascii="Open Sans" w:eastAsia="Times New Roman" w:hAnsi="Open Sans" w:cs="Open Sans"/>
          <w:sz w:val="18"/>
          <w:szCs w:val="18"/>
          <w:lang w:eastAsia="ar-SA"/>
        </w:rPr>
        <w:t xml:space="preserve"> vyplývajúcej z primárneho práva EÚ</w:t>
      </w:r>
      <w:r w:rsidRPr="00196438">
        <w:rPr>
          <w:rFonts w:ascii="Open Sans" w:eastAsia="Times New Roman" w:hAnsi="Open Sans" w:cs="Open Sans"/>
          <w:sz w:val="18"/>
          <w:szCs w:val="18"/>
          <w:lang w:eastAsia="ar-SA"/>
        </w:rPr>
        <w:t xml:space="preserve"> a v odbornej literatúre preto </w:t>
      </w:r>
      <w:r w:rsidR="00EB3658" w:rsidRPr="00196438">
        <w:rPr>
          <w:rFonts w:ascii="Open Sans" w:eastAsia="Times New Roman" w:hAnsi="Open Sans" w:cs="Open Sans"/>
          <w:sz w:val="18"/>
          <w:szCs w:val="18"/>
          <w:lang w:eastAsia="ar-SA"/>
        </w:rPr>
        <w:t xml:space="preserve">platí </w:t>
      </w:r>
      <w:r w:rsidRPr="00196438">
        <w:rPr>
          <w:rFonts w:ascii="Open Sans" w:eastAsia="Times New Roman" w:hAnsi="Open Sans" w:cs="Open Sans"/>
          <w:sz w:val="18"/>
          <w:szCs w:val="18"/>
          <w:lang w:eastAsia="ar-SA"/>
        </w:rPr>
        <w:t xml:space="preserve">právny názor, že sa nejedná o odklon od rozhodnutí ESD </w:t>
      </w:r>
      <w:proofErr w:type="spellStart"/>
      <w:r w:rsidRPr="00196438">
        <w:rPr>
          <w:rFonts w:ascii="Open Sans" w:eastAsia="Times New Roman" w:hAnsi="Open Sans" w:cs="Open Sans"/>
          <w:sz w:val="18"/>
          <w:szCs w:val="18"/>
          <w:lang w:eastAsia="ar-SA"/>
        </w:rPr>
        <w:t>Marshall</w:t>
      </w:r>
      <w:proofErr w:type="spellEnd"/>
      <w:r w:rsidRPr="00196438">
        <w:rPr>
          <w:rFonts w:ascii="Open Sans" w:eastAsia="Times New Roman" w:hAnsi="Open Sans" w:cs="Open Sans"/>
          <w:sz w:val="18"/>
          <w:szCs w:val="18"/>
          <w:lang w:eastAsia="ar-SA"/>
        </w:rPr>
        <w:t xml:space="preserve">, C-152/84, </w:t>
      </w:r>
      <w:proofErr w:type="spellStart"/>
      <w:r w:rsidRPr="00196438">
        <w:rPr>
          <w:rFonts w:ascii="Open Sans" w:eastAsia="Times New Roman" w:hAnsi="Open Sans" w:cs="Open Sans"/>
          <w:sz w:val="18"/>
          <w:szCs w:val="18"/>
          <w:lang w:eastAsia="ar-SA"/>
        </w:rPr>
        <w:t>Faccini</w:t>
      </w:r>
      <w:proofErr w:type="spellEnd"/>
      <w:r w:rsidRPr="00196438">
        <w:rPr>
          <w:rFonts w:ascii="Open Sans" w:eastAsia="Times New Roman" w:hAnsi="Open Sans" w:cs="Open Sans"/>
          <w:sz w:val="18"/>
          <w:szCs w:val="18"/>
          <w:lang w:eastAsia="ar-SA"/>
        </w:rPr>
        <w:t xml:space="preserve"> </w:t>
      </w:r>
      <w:proofErr w:type="spellStart"/>
      <w:r w:rsidRPr="00196438">
        <w:rPr>
          <w:rFonts w:ascii="Open Sans" w:eastAsia="Times New Roman" w:hAnsi="Open Sans" w:cs="Open Sans"/>
          <w:sz w:val="18"/>
          <w:szCs w:val="18"/>
          <w:lang w:eastAsia="ar-SA"/>
        </w:rPr>
        <w:t>Dori</w:t>
      </w:r>
      <w:proofErr w:type="spellEnd"/>
      <w:r w:rsidRPr="00196438">
        <w:rPr>
          <w:rFonts w:ascii="Open Sans" w:eastAsia="Times New Roman" w:hAnsi="Open Sans" w:cs="Open Sans"/>
          <w:sz w:val="18"/>
          <w:szCs w:val="18"/>
          <w:lang w:eastAsia="ar-SA"/>
        </w:rPr>
        <w:t xml:space="preserve">, C-91/92 a </w:t>
      </w:r>
      <w:proofErr w:type="spellStart"/>
      <w:r w:rsidRPr="00196438">
        <w:rPr>
          <w:rFonts w:ascii="Open Sans" w:eastAsia="Times New Roman" w:hAnsi="Open Sans" w:cs="Open Sans"/>
          <w:sz w:val="18"/>
          <w:szCs w:val="18"/>
          <w:lang w:eastAsia="ar-SA"/>
        </w:rPr>
        <w:t>Pfeiffer</w:t>
      </w:r>
      <w:proofErr w:type="spellEnd"/>
      <w:r w:rsidRPr="00196438">
        <w:rPr>
          <w:rFonts w:ascii="Open Sans" w:eastAsia="Times New Roman" w:hAnsi="Open Sans" w:cs="Open Sans"/>
          <w:sz w:val="18"/>
          <w:szCs w:val="18"/>
          <w:lang w:eastAsia="ar-SA"/>
        </w:rPr>
        <w:t xml:space="preserve">, C-397/01, ale ide o výnimočné priznanie priameho účinku iba špecifickým, </w:t>
      </w:r>
      <w:proofErr w:type="spellStart"/>
      <w:r w:rsidRPr="00196438">
        <w:rPr>
          <w:rFonts w:ascii="Open Sans" w:eastAsia="Times New Roman" w:hAnsi="Open Sans" w:cs="Open Sans"/>
          <w:sz w:val="18"/>
          <w:szCs w:val="18"/>
          <w:lang w:eastAsia="ar-SA"/>
        </w:rPr>
        <w:t>anti</w:t>
      </w:r>
      <w:proofErr w:type="spellEnd"/>
      <w:r w:rsidRPr="00196438">
        <w:rPr>
          <w:rFonts w:ascii="Open Sans" w:eastAsia="Times New Roman" w:hAnsi="Open Sans" w:cs="Open Sans"/>
          <w:sz w:val="18"/>
          <w:szCs w:val="18"/>
          <w:lang w:eastAsia="ar-SA"/>
        </w:rPr>
        <w:t>-diskriminačným smerniciam, v ktorých sú vyjadrené fundamentálne právne princípy vyplývajúce z primárneho práva EÚ, a nie o priznanie klasického priameho účinku v klasických sporoch medzi jednotlivcami, kde sú v konflikte vnútroštátny právny predpis a smernica EÚ.</w:t>
      </w:r>
    </w:p>
    <w:p w14:paraId="7CC85393"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94"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i/>
          <w:sz w:val="18"/>
          <w:szCs w:val="18"/>
          <w:lang w:eastAsia="ar-SA"/>
        </w:rPr>
      </w:pPr>
      <w:r w:rsidRPr="00196438">
        <w:rPr>
          <w:rFonts w:ascii="Open Sans" w:eastAsia="Times New Roman" w:hAnsi="Open Sans" w:cs="Open Sans"/>
          <w:sz w:val="18"/>
          <w:szCs w:val="18"/>
          <w:lang w:eastAsia="ar-SA"/>
        </w:rPr>
        <w:t>Vyššie uvedené podporuje aj odborná literatúra, v zmysle ktorej "</w:t>
      </w:r>
      <w:r w:rsidRPr="00196438">
        <w:rPr>
          <w:rFonts w:ascii="Open Sans" w:eastAsia="Times New Roman" w:hAnsi="Open Sans" w:cs="Open Sans"/>
          <w:i/>
          <w:sz w:val="18"/>
          <w:szCs w:val="18"/>
          <w:lang w:eastAsia="ar-SA"/>
        </w:rPr>
        <w:t xml:space="preserve">Zhrnutie priameho účinku smerníc: Priamy účinok  smerníc je najkomplexnejšou problematikou s týmto pojmom spojenou. Priamy účinok môže nastať len v prípade, že je smernica </w:t>
      </w:r>
      <w:proofErr w:type="spellStart"/>
      <w:r w:rsidRPr="00196438">
        <w:rPr>
          <w:rFonts w:ascii="Open Sans" w:eastAsia="Times New Roman" w:hAnsi="Open Sans" w:cs="Open Sans"/>
          <w:i/>
          <w:sz w:val="18"/>
          <w:szCs w:val="18"/>
          <w:lang w:eastAsia="ar-SA"/>
        </w:rPr>
        <w:t>vadne</w:t>
      </w:r>
      <w:proofErr w:type="spellEnd"/>
      <w:r w:rsidRPr="00196438">
        <w:rPr>
          <w:rFonts w:ascii="Open Sans" w:eastAsia="Times New Roman" w:hAnsi="Open Sans" w:cs="Open Sans"/>
          <w:i/>
          <w:sz w:val="18"/>
          <w:szCs w:val="18"/>
          <w:lang w:eastAsia="ar-SA"/>
        </w:rPr>
        <w:t xml:space="preserve"> implementovaná (</w:t>
      </w:r>
      <w:r w:rsidRPr="00196438">
        <w:rPr>
          <w:rFonts w:ascii="Open Sans" w:eastAsia="Times New Roman" w:hAnsi="Open Sans" w:cs="Open Sans"/>
          <w:i/>
          <w:sz w:val="18"/>
          <w:szCs w:val="18"/>
          <w:u w:val="single"/>
          <w:lang w:eastAsia="ar-SA"/>
        </w:rPr>
        <w:t>či už naozaj chybne alebo len neúplne/nedostatočne</w:t>
      </w:r>
      <w:r w:rsidRPr="00196438">
        <w:rPr>
          <w:rFonts w:ascii="Open Sans" w:eastAsia="Times New Roman" w:hAnsi="Open Sans" w:cs="Open Sans"/>
          <w:i/>
          <w:sz w:val="18"/>
          <w:szCs w:val="18"/>
          <w:lang w:eastAsia="ar-SA"/>
        </w:rPr>
        <w:t xml:space="preserve">). Prípady </w:t>
      </w:r>
      <w:proofErr w:type="spellStart"/>
      <w:r w:rsidRPr="00196438">
        <w:rPr>
          <w:rFonts w:ascii="Open Sans" w:eastAsia="Times New Roman" w:hAnsi="Open Sans" w:cs="Open Sans"/>
          <w:i/>
          <w:sz w:val="18"/>
          <w:szCs w:val="18"/>
          <w:lang w:eastAsia="ar-SA"/>
        </w:rPr>
        <w:t>vadnej</w:t>
      </w:r>
      <w:proofErr w:type="spellEnd"/>
      <w:r w:rsidRPr="00196438">
        <w:rPr>
          <w:rFonts w:ascii="Open Sans" w:eastAsia="Times New Roman" w:hAnsi="Open Sans" w:cs="Open Sans"/>
          <w:i/>
          <w:sz w:val="18"/>
          <w:szCs w:val="18"/>
          <w:lang w:eastAsia="ar-SA"/>
        </w:rPr>
        <w:t xml:space="preserve"> implementácie je možné ďalej deliť do dvoch skupín. Do tej prvej zahrňujeme situácie, keď smernica nie je použitá proti jednotlivcovi </w:t>
      </w:r>
      <w:r w:rsidRPr="00196438">
        <w:rPr>
          <w:rFonts w:ascii="Open Sans" w:eastAsia="Times New Roman" w:hAnsi="Open Sans" w:cs="Open Sans"/>
          <w:sz w:val="18"/>
          <w:szCs w:val="18"/>
          <w:lang w:eastAsia="ar-SA"/>
        </w:rPr>
        <w:t>[pozn.: v tomto konkrétnom prípade vedenom na tunajšom súde by sa jednalo o použitie smernice proti jednotlivcovi, preto preskočím citáciu priamo k problematike použitia smernice proti jednotlivcovi]</w:t>
      </w:r>
      <w:r w:rsidRPr="00196438">
        <w:rPr>
          <w:rFonts w:ascii="Open Sans" w:eastAsia="Times New Roman" w:hAnsi="Open Sans" w:cs="Open Sans"/>
          <w:i/>
          <w:sz w:val="18"/>
          <w:szCs w:val="18"/>
          <w:lang w:eastAsia="ar-SA"/>
        </w:rPr>
        <w:t>... Druhá skupina zahŕňa prípady, kedy má byť smernica použitá proti jednotlivcovi. Tu nie je možné, aby smernica sama o sebe založila jednotlivcovi povinnosť, a to prinajmenšom v tých prípadoch, kedy ide o povinnosť, ktorú ustanovuje samotná smernica. Určité obmedzenie bolo Súdnym dvorom pripustené v situáciách, kedy povinnosť nevzniká priamo na základe smernice</w:t>
      </w:r>
      <w:r w:rsidR="00D41108" w:rsidRPr="00196438">
        <w:rPr>
          <w:rFonts w:ascii="Open Sans" w:eastAsia="Times New Roman" w:hAnsi="Open Sans" w:cs="Open Sans"/>
          <w:i/>
          <w:sz w:val="18"/>
          <w:szCs w:val="18"/>
          <w:lang w:eastAsia="ar-SA"/>
        </w:rPr>
        <w:t xml:space="preserve"> </w:t>
      </w:r>
      <w:r w:rsidR="00D41108" w:rsidRPr="00196438">
        <w:rPr>
          <w:rFonts w:ascii="Open Sans" w:eastAsia="Times New Roman" w:hAnsi="Open Sans" w:cs="Open Sans"/>
          <w:sz w:val="18"/>
          <w:szCs w:val="18"/>
          <w:lang w:eastAsia="ar-SA"/>
        </w:rPr>
        <w:t xml:space="preserve">[pozn. ide o vyššie spomenutý prípad </w:t>
      </w:r>
      <w:proofErr w:type="spellStart"/>
      <w:r w:rsidR="00D41108" w:rsidRPr="00196438">
        <w:rPr>
          <w:rFonts w:ascii="Open Sans" w:eastAsia="Times New Roman" w:hAnsi="Open Sans" w:cs="Open Sans"/>
          <w:sz w:val="18"/>
          <w:szCs w:val="18"/>
          <w:lang w:eastAsia="ar-SA"/>
        </w:rPr>
        <w:t>Seda</w:t>
      </w:r>
      <w:proofErr w:type="spellEnd"/>
      <w:r w:rsidR="00D41108" w:rsidRPr="00196438">
        <w:rPr>
          <w:rFonts w:ascii="Open Sans" w:eastAsia="Times New Roman" w:hAnsi="Open Sans" w:cs="Open Sans"/>
          <w:sz w:val="18"/>
          <w:szCs w:val="18"/>
          <w:lang w:eastAsia="ar-SA"/>
        </w:rPr>
        <w:t xml:space="preserve"> </w:t>
      </w:r>
      <w:proofErr w:type="spellStart"/>
      <w:r w:rsidR="00D41108" w:rsidRPr="00196438">
        <w:rPr>
          <w:rFonts w:ascii="Open Sans" w:eastAsia="Times New Roman" w:hAnsi="Open Sans" w:cs="Open Sans"/>
          <w:sz w:val="18"/>
          <w:szCs w:val="18"/>
          <w:lang w:eastAsia="ar-SA"/>
        </w:rPr>
        <w:t>Kűcűkdeveci</w:t>
      </w:r>
      <w:proofErr w:type="spellEnd"/>
      <w:r w:rsidR="00D41108" w:rsidRPr="00196438">
        <w:rPr>
          <w:rFonts w:ascii="Open Sans" w:eastAsia="Times New Roman" w:hAnsi="Open Sans" w:cs="Open Sans"/>
          <w:sz w:val="18"/>
          <w:szCs w:val="18"/>
          <w:lang w:eastAsia="ar-SA"/>
        </w:rPr>
        <w:t xml:space="preserve"> C-555/07]</w:t>
      </w:r>
      <w:r w:rsidRPr="00196438">
        <w:rPr>
          <w:rFonts w:ascii="Open Sans" w:eastAsia="Times New Roman" w:hAnsi="Open Sans" w:cs="Open Sans"/>
          <w:i/>
          <w:sz w:val="18"/>
          <w:szCs w:val="18"/>
          <w:lang w:eastAsia="ar-SA"/>
        </w:rPr>
        <w:t>, alebo kedy je (vedľajším) dôsledkom uplatnenia smernice v sporu iného jednotlivca voči štátu."</w:t>
      </w:r>
      <w:r w:rsidRPr="00196438">
        <w:rPr>
          <w:rFonts w:ascii="Open Sans" w:eastAsia="Times New Roman" w:hAnsi="Open Sans" w:cs="Open Sans"/>
          <w:i/>
          <w:sz w:val="18"/>
          <w:szCs w:val="18"/>
          <w:vertAlign w:val="superscript"/>
          <w:lang w:eastAsia="ar-SA"/>
        </w:rPr>
        <w:footnoteReference w:id="16"/>
      </w:r>
    </w:p>
    <w:p w14:paraId="7CC85395"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96" w14:textId="77777777" w:rsidR="008C3E35" w:rsidRPr="00196438" w:rsidRDefault="00D41108" w:rsidP="008A5AFF">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w:t>
      </w:r>
      <w:r w:rsidR="008C3E35"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sz w:val="18"/>
          <w:szCs w:val="18"/>
          <w:lang w:eastAsia="ar-SA"/>
        </w:rPr>
        <w:t xml:space="preserve">prípadoch, kedy vnútroštátne súdy budú rozhodovať o sporoch medzi veriteľmi a spotrebiteľmi ohľadne </w:t>
      </w:r>
      <w:proofErr w:type="spellStart"/>
      <w:r w:rsidRPr="00196438">
        <w:rPr>
          <w:rFonts w:ascii="Open Sans" w:eastAsia="Times New Roman" w:hAnsi="Open Sans" w:cs="Open Sans"/>
          <w:sz w:val="18"/>
          <w:szCs w:val="18"/>
          <w:lang w:eastAsia="ar-SA"/>
        </w:rPr>
        <w:t>bezúročnosti</w:t>
      </w:r>
      <w:proofErr w:type="spellEnd"/>
      <w:r w:rsidRPr="00196438">
        <w:rPr>
          <w:rFonts w:ascii="Open Sans" w:eastAsia="Times New Roman" w:hAnsi="Open Sans" w:cs="Open Sans"/>
          <w:sz w:val="18"/>
          <w:szCs w:val="18"/>
          <w:lang w:eastAsia="ar-SA"/>
        </w:rPr>
        <w:t xml:space="preserve"> a </w:t>
      </w:r>
      <w:proofErr w:type="spellStart"/>
      <w:r w:rsidRPr="00196438">
        <w:rPr>
          <w:rFonts w:ascii="Open Sans" w:eastAsia="Times New Roman" w:hAnsi="Open Sans" w:cs="Open Sans"/>
          <w:sz w:val="18"/>
          <w:szCs w:val="18"/>
          <w:lang w:eastAsia="ar-SA"/>
        </w:rPr>
        <w:t>bezpoplatkovosti</w:t>
      </w:r>
      <w:proofErr w:type="spellEnd"/>
      <w:r w:rsidRPr="00196438">
        <w:rPr>
          <w:rFonts w:ascii="Open Sans" w:eastAsia="Times New Roman" w:hAnsi="Open Sans" w:cs="Open Sans"/>
          <w:sz w:val="18"/>
          <w:szCs w:val="18"/>
          <w:lang w:eastAsia="ar-SA"/>
        </w:rPr>
        <w:t xml:space="preserve"> spotrebiteľských úverov podľa Zákona, resp. Smernice, sa bude jednať</w:t>
      </w:r>
      <w:r w:rsidR="008C3E35" w:rsidRPr="00196438">
        <w:rPr>
          <w:rFonts w:ascii="Open Sans" w:eastAsia="Times New Roman" w:hAnsi="Open Sans" w:cs="Open Sans"/>
          <w:sz w:val="18"/>
          <w:szCs w:val="18"/>
          <w:lang w:eastAsia="ar-SA"/>
        </w:rPr>
        <w:t xml:space="preserve"> o spor</w:t>
      </w:r>
      <w:r w:rsidRPr="00196438">
        <w:rPr>
          <w:rFonts w:ascii="Open Sans" w:eastAsia="Times New Roman" w:hAnsi="Open Sans" w:cs="Open Sans"/>
          <w:sz w:val="18"/>
          <w:szCs w:val="18"/>
          <w:lang w:eastAsia="ar-SA"/>
        </w:rPr>
        <w:t>y medzi jednotlivcami. Z tohto dôvodu</w:t>
      </w:r>
      <w:r w:rsidR="008C3E35" w:rsidRPr="00196438">
        <w:rPr>
          <w:rFonts w:ascii="Open Sans" w:eastAsia="Times New Roman" w:hAnsi="Open Sans" w:cs="Open Sans"/>
          <w:sz w:val="18"/>
          <w:szCs w:val="18"/>
          <w:lang w:eastAsia="ar-SA"/>
        </w:rPr>
        <w:t xml:space="preserve"> nie je možné, aby </w:t>
      </w:r>
      <w:r w:rsidRPr="00196438">
        <w:rPr>
          <w:rFonts w:ascii="Open Sans" w:eastAsia="Times New Roman" w:hAnsi="Open Sans" w:cs="Open Sans"/>
          <w:sz w:val="18"/>
          <w:szCs w:val="18"/>
          <w:lang w:eastAsia="ar-SA"/>
        </w:rPr>
        <w:t>vnútroštátne súdy poskytli</w:t>
      </w:r>
      <w:r w:rsidR="008C3E35" w:rsidRPr="00196438">
        <w:rPr>
          <w:rFonts w:ascii="Open Sans" w:eastAsia="Times New Roman" w:hAnsi="Open Sans" w:cs="Open Sans"/>
          <w:sz w:val="18"/>
          <w:szCs w:val="18"/>
          <w:lang w:eastAsia="ar-SA"/>
        </w:rPr>
        <w:t xml:space="preserve"> Smernici priamy účinok. </w:t>
      </w:r>
      <w:r w:rsidR="008A5AFF" w:rsidRPr="00196438">
        <w:rPr>
          <w:rFonts w:ascii="Open Sans" w:eastAsia="Times New Roman" w:hAnsi="Open Sans" w:cs="Open Sans"/>
          <w:sz w:val="18"/>
          <w:szCs w:val="18"/>
          <w:lang w:eastAsia="ar-SA"/>
        </w:rPr>
        <w:t xml:space="preserve">Nakoľko priamy účinok Smernice do úvahy neprichádza, vnútroštátne súdy musia skúmať, či Smernici môžu priznať nepriamy účinok, a teda či môžu vykladať Zákon </w:t>
      </w:r>
      <w:proofErr w:type="spellStart"/>
      <w:r w:rsidR="008A5AFF" w:rsidRPr="00196438">
        <w:rPr>
          <w:rFonts w:ascii="Open Sans" w:eastAsia="Times New Roman" w:hAnsi="Open Sans" w:cs="Open Sans"/>
          <w:sz w:val="18"/>
          <w:szCs w:val="18"/>
          <w:lang w:eastAsia="ar-SA"/>
        </w:rPr>
        <w:t>eurokonformne</w:t>
      </w:r>
      <w:proofErr w:type="spellEnd"/>
      <w:r w:rsidR="008A5AFF" w:rsidRPr="00196438">
        <w:rPr>
          <w:rFonts w:ascii="Open Sans" w:eastAsia="Times New Roman" w:hAnsi="Open Sans" w:cs="Open Sans"/>
          <w:sz w:val="18"/>
          <w:szCs w:val="18"/>
          <w:lang w:eastAsia="ar-SA"/>
        </w:rPr>
        <w:t>. Nejedná sa teda o automatické nastúpenie nepriameho účinku Smernice, ale súdy musia tento nepriamy účinok Smernice podrobiť testu, aby vedeli, či ho vzhľadom na právnu povahu Smernice môžu aplikovať pri výklade vnútroštátneho Zákona.</w:t>
      </w:r>
    </w:p>
    <w:p w14:paraId="7CC85397"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98" w14:textId="77777777" w:rsidR="008C3E35" w:rsidRPr="00196438" w:rsidRDefault="00704B68" w:rsidP="008C3E35">
      <w:pPr>
        <w:tabs>
          <w:tab w:val="left" w:pos="708"/>
          <w:tab w:val="left" w:pos="6674"/>
        </w:tabs>
        <w:suppressAutoHyphens/>
        <w:spacing w:after="0"/>
        <w:jc w:val="both"/>
        <w:rPr>
          <w:rFonts w:ascii="Open Sans" w:eastAsia="Times New Roman" w:hAnsi="Open Sans" w:cs="Open Sans"/>
          <w:b/>
          <w:sz w:val="18"/>
          <w:szCs w:val="18"/>
          <w:lang w:eastAsia="ar-SA"/>
        </w:rPr>
      </w:pPr>
      <w:r w:rsidRPr="00196438">
        <w:rPr>
          <w:rFonts w:ascii="Open Sans" w:eastAsia="Times New Roman" w:hAnsi="Open Sans" w:cs="Open Sans"/>
          <w:b/>
          <w:sz w:val="18"/>
          <w:szCs w:val="18"/>
          <w:lang w:eastAsia="ar-SA"/>
        </w:rPr>
        <w:t xml:space="preserve">4.2 </w:t>
      </w:r>
      <w:r w:rsidR="008C3E35" w:rsidRPr="00196438">
        <w:rPr>
          <w:rFonts w:ascii="Open Sans" w:eastAsia="Times New Roman" w:hAnsi="Open Sans" w:cs="Open Sans"/>
          <w:b/>
          <w:sz w:val="18"/>
          <w:szCs w:val="18"/>
          <w:lang w:eastAsia="ar-SA"/>
        </w:rPr>
        <w:t>Ad nepriamy účinok</w:t>
      </w:r>
    </w:p>
    <w:p w14:paraId="7CC85399" w14:textId="77777777" w:rsidR="00704B68" w:rsidRPr="00196438" w:rsidRDefault="00704B68" w:rsidP="008C3E35">
      <w:pPr>
        <w:tabs>
          <w:tab w:val="left" w:pos="708"/>
          <w:tab w:val="left" w:pos="6674"/>
        </w:tabs>
        <w:suppressAutoHyphens/>
        <w:spacing w:after="0"/>
        <w:jc w:val="both"/>
        <w:rPr>
          <w:rFonts w:ascii="Open Sans" w:eastAsia="Times New Roman" w:hAnsi="Open Sans" w:cs="Open Sans"/>
          <w:b/>
          <w:sz w:val="18"/>
          <w:szCs w:val="18"/>
          <w:lang w:eastAsia="ar-SA"/>
        </w:rPr>
      </w:pPr>
    </w:p>
    <w:p w14:paraId="7CC8539A"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Korene nepriameho účinku sa datujú k prípadu </w:t>
      </w:r>
      <w:r w:rsidRPr="00196438">
        <w:rPr>
          <w:rFonts w:ascii="Open Sans" w:eastAsia="Times New Roman" w:hAnsi="Open Sans" w:cs="Open Sans"/>
          <w:i/>
          <w:sz w:val="18"/>
          <w:szCs w:val="18"/>
          <w:lang w:eastAsia="ar-SA"/>
        </w:rPr>
        <w:t xml:space="preserve">Van </w:t>
      </w:r>
      <w:proofErr w:type="spellStart"/>
      <w:r w:rsidRPr="00196438">
        <w:rPr>
          <w:rFonts w:ascii="Open Sans" w:eastAsia="Times New Roman" w:hAnsi="Open Sans" w:cs="Open Sans"/>
          <w:i/>
          <w:sz w:val="18"/>
          <w:szCs w:val="18"/>
          <w:lang w:eastAsia="ar-SA"/>
        </w:rPr>
        <w:t>Colson</w:t>
      </w:r>
      <w:proofErr w:type="spellEnd"/>
      <w:r w:rsidRPr="00196438">
        <w:rPr>
          <w:rFonts w:ascii="Open Sans" w:eastAsia="Times New Roman" w:hAnsi="Open Sans" w:cs="Open Sans"/>
          <w:sz w:val="18"/>
          <w:szCs w:val="18"/>
          <w:lang w:eastAsia="ar-SA"/>
        </w:rPr>
        <w:t>, C-14/83, rozsudok zo dňa 10.4.1984. Nepriamy účinok smernice v zmysle judikatúry Súdneho dvora EÚ znamená, že vnútroštátne súdy sú povinné vykladať vnútroštátne právo vo svetle znenia a účelu smernice</w:t>
      </w:r>
      <w:r w:rsidRPr="00196438">
        <w:rPr>
          <w:rFonts w:ascii="Open Sans" w:eastAsia="Times New Roman" w:hAnsi="Open Sans" w:cs="Open Sans"/>
          <w:i/>
          <w:sz w:val="18"/>
          <w:szCs w:val="18"/>
          <w:lang w:eastAsia="ar-SA"/>
        </w:rPr>
        <w:t xml:space="preserve">, </w:t>
      </w:r>
      <w:r w:rsidRPr="00196438">
        <w:rPr>
          <w:rFonts w:ascii="Open Sans" w:eastAsia="Times New Roman" w:hAnsi="Open Sans" w:cs="Open Sans"/>
          <w:sz w:val="18"/>
          <w:szCs w:val="18"/>
          <w:lang w:eastAsia="ar-SA"/>
        </w:rPr>
        <w:t xml:space="preserve">pričom tento </w:t>
      </w:r>
      <w:r w:rsidRPr="00196438">
        <w:rPr>
          <w:rFonts w:ascii="Open Sans" w:eastAsia="Times New Roman" w:hAnsi="Open Sans" w:cs="Open Sans"/>
          <w:sz w:val="18"/>
          <w:szCs w:val="18"/>
          <w:u w:val="single"/>
          <w:lang w:eastAsia="ar-SA"/>
        </w:rPr>
        <w:t>výklad nie je absolútny (nejedná sa totiž o priamy účinok), ale je obmedzený ro</w:t>
      </w:r>
      <w:r w:rsidR="00813CB8" w:rsidRPr="00196438">
        <w:rPr>
          <w:rFonts w:ascii="Open Sans" w:eastAsia="Times New Roman" w:hAnsi="Open Sans" w:cs="Open Sans"/>
          <w:sz w:val="18"/>
          <w:szCs w:val="18"/>
          <w:u w:val="single"/>
          <w:lang w:eastAsia="ar-SA"/>
        </w:rPr>
        <w:t>zsahom a medzami, ktoré uvediem</w:t>
      </w:r>
      <w:r w:rsidRPr="00196438">
        <w:rPr>
          <w:rFonts w:ascii="Open Sans" w:eastAsia="Times New Roman" w:hAnsi="Open Sans" w:cs="Open Sans"/>
          <w:sz w:val="18"/>
          <w:szCs w:val="18"/>
          <w:u w:val="single"/>
          <w:lang w:eastAsia="ar-SA"/>
        </w:rPr>
        <w:t xml:space="preserve"> nižšie</w:t>
      </w:r>
      <w:r w:rsidRPr="00196438">
        <w:rPr>
          <w:rFonts w:ascii="Open Sans" w:eastAsia="Times New Roman" w:hAnsi="Open Sans" w:cs="Open Sans"/>
          <w:sz w:val="18"/>
          <w:szCs w:val="18"/>
          <w:lang w:eastAsia="ar-SA"/>
        </w:rPr>
        <w:t>.</w:t>
      </w:r>
    </w:p>
    <w:p w14:paraId="7CC8539B"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9C"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b/>
          <w:sz w:val="18"/>
          <w:szCs w:val="18"/>
          <w:lang w:eastAsia="ar-SA"/>
        </w:rPr>
        <w:t xml:space="preserve">4.2.1 Rozsah a medze nepriameho účinku / </w:t>
      </w:r>
      <w:proofErr w:type="spellStart"/>
      <w:r w:rsidRPr="00196438">
        <w:rPr>
          <w:rFonts w:ascii="Open Sans" w:eastAsia="Times New Roman" w:hAnsi="Open Sans" w:cs="Open Sans"/>
          <w:b/>
          <w:sz w:val="18"/>
          <w:szCs w:val="18"/>
          <w:lang w:eastAsia="ar-SA"/>
        </w:rPr>
        <w:t>eurokonformného</w:t>
      </w:r>
      <w:proofErr w:type="spellEnd"/>
      <w:r w:rsidRPr="00196438">
        <w:rPr>
          <w:rFonts w:ascii="Open Sans" w:eastAsia="Times New Roman" w:hAnsi="Open Sans" w:cs="Open Sans"/>
          <w:b/>
          <w:sz w:val="18"/>
          <w:szCs w:val="18"/>
          <w:lang w:eastAsia="ar-SA"/>
        </w:rPr>
        <w:t xml:space="preserve"> výkladu</w:t>
      </w:r>
    </w:p>
    <w:p w14:paraId="7CC8539D"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p>
    <w:p w14:paraId="7CC8539E"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V prípade nepriameho účinku smerníc ako takých má nepriamy účinok vždy svoj rozsah a svoje medze. Nejedná sa o priamy účinok, kedy je vnútroštátne právo vypustené a doslova nahradené smernicou. V prípade nepriameho účinku vnútroštátne právo ostáva naďalej v platnosti, nemôže byť vypustené na úkor smernice, vnútroštátny súd ho berie v plnom rozsahu v úvahu a vykladá ho, len súd musí skúmať, či ho môže vykladať </w:t>
      </w:r>
      <w:proofErr w:type="spellStart"/>
      <w:r w:rsidRPr="00196438">
        <w:rPr>
          <w:rFonts w:ascii="Open Sans" w:eastAsia="Times New Roman" w:hAnsi="Open Sans" w:cs="Open Sans"/>
          <w:sz w:val="18"/>
          <w:szCs w:val="18"/>
          <w:lang w:eastAsia="ar-SA"/>
        </w:rPr>
        <w:t>eurokonformne</w:t>
      </w:r>
      <w:proofErr w:type="spellEnd"/>
      <w:r w:rsidRPr="00196438">
        <w:rPr>
          <w:rFonts w:ascii="Open Sans" w:eastAsia="Times New Roman" w:hAnsi="Open Sans" w:cs="Open Sans"/>
          <w:sz w:val="18"/>
          <w:szCs w:val="18"/>
          <w:lang w:eastAsia="ar-SA"/>
        </w:rPr>
        <w:t>.</w:t>
      </w:r>
    </w:p>
    <w:p w14:paraId="7CC8539F"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p>
    <w:p w14:paraId="7CC853A0"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zmysle ustálenej judikatúry Súdneho dvora EÚ  je rozsah a medze nepriameho účinku smerníc vyjadrený jednak právom EÚ, jednak právom vnútroštátnym. Spolupôsobenie týchto dvoch právnych poriadkov sa prejavuje nasledovne:</w:t>
      </w:r>
    </w:p>
    <w:p w14:paraId="7CC853A1"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p>
    <w:p w14:paraId="7CC853A2" w14:textId="77777777" w:rsidR="00704B68" w:rsidRPr="00196438" w:rsidRDefault="00704B68" w:rsidP="00704B68">
      <w:pPr>
        <w:numPr>
          <w:ilvl w:val="1"/>
          <w:numId w:val="5"/>
        </w:numPr>
        <w:suppressAutoHyphens/>
        <w:spacing w:after="0" w:line="240" w:lineRule="auto"/>
        <w:ind w:left="284" w:hanging="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Musí ísť o výklad v čo najväčšej možnej miere v zmysle znenia a účelu/cieľa Smernice</w:t>
      </w:r>
      <w:r w:rsidRPr="00196438">
        <w:rPr>
          <w:rFonts w:ascii="Open Sans" w:eastAsia="Times New Roman" w:hAnsi="Open Sans" w:cs="Open Sans"/>
          <w:sz w:val="18"/>
          <w:szCs w:val="18"/>
          <w:vertAlign w:val="superscript"/>
          <w:lang w:eastAsia="ar-SA"/>
        </w:rPr>
        <w:footnoteReference w:id="17"/>
      </w:r>
    </w:p>
    <w:p w14:paraId="7CC853A3"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lang w:eastAsia="ar-SA"/>
        </w:rPr>
        <w:t xml:space="preserve">Súd teda musí urobiť všetko, čo je v jeho právomoci a použiť </w:t>
      </w:r>
      <w:r w:rsidRPr="00196438">
        <w:rPr>
          <w:rFonts w:ascii="Open Sans" w:eastAsia="Times New Roman" w:hAnsi="Open Sans" w:cs="Open Sans"/>
          <w:i/>
          <w:sz w:val="18"/>
          <w:szCs w:val="18"/>
          <w:u w:val="single"/>
          <w:lang w:eastAsia="ar-SA"/>
        </w:rPr>
        <w:t>výkladové metódy, ktoré sú vnútroštátnym právom uznávané</w:t>
      </w:r>
      <w:r w:rsidRPr="00196438">
        <w:rPr>
          <w:rFonts w:ascii="Open Sans" w:eastAsia="Times New Roman" w:hAnsi="Open Sans" w:cs="Open Sans"/>
          <w:i/>
          <w:sz w:val="18"/>
          <w:szCs w:val="18"/>
          <w:lang w:eastAsia="ar-SA"/>
        </w:rPr>
        <w:t xml:space="preserve">, za tým účelom, aby vyložil vnútroštátne právo spôsobom, ktorý povedie k výsledku požadovanom smernicou. </w:t>
      </w:r>
      <w:r w:rsidRPr="00196438">
        <w:rPr>
          <w:rFonts w:ascii="Open Sans" w:eastAsia="Times New Roman" w:hAnsi="Open Sans" w:cs="Open Sans"/>
          <w:b/>
          <w:i/>
          <w:sz w:val="18"/>
          <w:szCs w:val="18"/>
          <w:u w:val="single"/>
          <w:lang w:eastAsia="ar-SA"/>
        </w:rPr>
        <w:t>Rozsah tejto povinnosti nachádza svoje medze vo vnútroštátnych metódach výkladu</w:t>
      </w:r>
      <w:r w:rsidRPr="00196438">
        <w:rPr>
          <w:rFonts w:ascii="Open Sans" w:eastAsia="Times New Roman" w:hAnsi="Open Sans" w:cs="Open Sans"/>
          <w:i/>
          <w:sz w:val="18"/>
          <w:szCs w:val="18"/>
          <w:lang w:eastAsia="ar-SA"/>
        </w:rPr>
        <w:t>. Pokiaľ žiadna z týchto metód k požadovanému výkladu nevedie, nepriamy účinok vyznie naprázdno, súladná interpretácia nie je možná. Súd členského štátu nie je povinný zavádzať do vnútroštátneho práva výkladové metódy, ktoré ním nie sú uznané</w:t>
      </w:r>
      <w:r w:rsidRPr="00196438">
        <w:rPr>
          <w:rFonts w:ascii="Open Sans" w:eastAsia="Times New Roman" w:hAnsi="Open Sans" w:cs="Open Sans"/>
          <w:sz w:val="18"/>
          <w:szCs w:val="18"/>
          <w:vertAlign w:val="superscript"/>
          <w:lang w:eastAsia="ar-SA"/>
        </w:rPr>
        <w:footnoteReference w:id="18"/>
      </w:r>
      <w:r w:rsidRPr="00196438">
        <w:rPr>
          <w:rFonts w:ascii="Open Sans" w:eastAsia="Times New Roman" w:hAnsi="Open Sans" w:cs="Open Sans"/>
          <w:sz w:val="18"/>
          <w:szCs w:val="18"/>
          <w:lang w:eastAsia="ar-SA"/>
        </w:rPr>
        <w:t>".</w:t>
      </w:r>
    </w:p>
    <w:p w14:paraId="7CC853A4"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p>
    <w:p w14:paraId="7CC853A5" w14:textId="77777777" w:rsidR="00704B68" w:rsidRPr="00196438" w:rsidRDefault="00813CB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Teda nestačí, že Smernica hovorí niečo iné ako Zákon, že Súdny dvor EÚ v Rozsudku C-42/15 uviedol, že Smernica sa má vykladať tak alebo onak, musí to byť vnútroštátny súd, ktorý musí skúmať, či môže podľa vnútroštátnych výkladových metód vykladať vnútroštátne právo (Zákon) </w:t>
      </w:r>
      <w:proofErr w:type="spellStart"/>
      <w:r w:rsidRPr="00196438">
        <w:rPr>
          <w:rFonts w:ascii="Open Sans" w:eastAsia="Times New Roman" w:hAnsi="Open Sans" w:cs="Open Sans"/>
          <w:sz w:val="18"/>
          <w:szCs w:val="18"/>
          <w:lang w:eastAsia="ar-SA"/>
        </w:rPr>
        <w:t>eurokonformne</w:t>
      </w:r>
      <w:proofErr w:type="spellEnd"/>
      <w:r w:rsidRPr="00196438">
        <w:rPr>
          <w:rFonts w:ascii="Open Sans" w:eastAsia="Times New Roman" w:hAnsi="Open Sans" w:cs="Open Sans"/>
          <w:sz w:val="18"/>
          <w:szCs w:val="18"/>
          <w:lang w:eastAsia="ar-SA"/>
        </w:rPr>
        <w:t xml:space="preserve"> (ako uvediem nižšie, súdy museli možnosť </w:t>
      </w:r>
      <w:proofErr w:type="spellStart"/>
      <w:r w:rsidRPr="00196438">
        <w:rPr>
          <w:rFonts w:ascii="Open Sans" w:eastAsia="Times New Roman" w:hAnsi="Open Sans" w:cs="Open Sans"/>
          <w:sz w:val="18"/>
          <w:szCs w:val="18"/>
          <w:lang w:eastAsia="ar-SA"/>
        </w:rPr>
        <w:t>eurokonformného</w:t>
      </w:r>
      <w:proofErr w:type="spellEnd"/>
      <w:r w:rsidRPr="00196438">
        <w:rPr>
          <w:rFonts w:ascii="Open Sans" w:eastAsia="Times New Roman" w:hAnsi="Open Sans" w:cs="Open Sans"/>
          <w:sz w:val="18"/>
          <w:szCs w:val="18"/>
          <w:lang w:eastAsia="ar-SA"/>
        </w:rPr>
        <w:t xml:space="preserve"> výkladu skúmať už od 11. júna 2008)</w:t>
      </w:r>
      <w:r w:rsidR="00704B68" w:rsidRPr="00196438">
        <w:rPr>
          <w:rFonts w:ascii="Open Sans" w:eastAsia="Times New Roman" w:hAnsi="Open Sans" w:cs="Open Sans"/>
          <w:sz w:val="18"/>
          <w:szCs w:val="18"/>
          <w:lang w:eastAsia="ar-SA"/>
        </w:rPr>
        <w:t xml:space="preserve">. Vnútroštátne súdy v konštantnej judikatúre potvrdenej Najvyšším súdom SR potvrdili, že výklad Zákona je taký, že sa vyžaduje členenie splátok na splátky úveru, splátky poplatkov a splátky úverov, </w:t>
      </w:r>
      <w:r w:rsidR="00704B68" w:rsidRPr="00196438">
        <w:rPr>
          <w:rFonts w:ascii="Open Sans" w:eastAsia="Times New Roman" w:hAnsi="Open Sans" w:cs="Open Sans"/>
          <w:sz w:val="18"/>
          <w:szCs w:val="18"/>
          <w:u w:val="single"/>
          <w:lang w:eastAsia="ar-SA"/>
        </w:rPr>
        <w:t>vychádzajúc z jazykového výkladu Zákona</w:t>
      </w:r>
      <w:r w:rsidR="00704B68" w:rsidRPr="00196438">
        <w:rPr>
          <w:rFonts w:ascii="Open Sans" w:eastAsia="Times New Roman" w:hAnsi="Open Sans" w:cs="Open Sans"/>
          <w:sz w:val="18"/>
          <w:szCs w:val="18"/>
          <w:lang w:eastAsia="ar-SA"/>
        </w:rPr>
        <w:t>.</w:t>
      </w:r>
    </w:p>
    <w:p w14:paraId="7CC853A6" w14:textId="77777777" w:rsidR="00704B68" w:rsidRPr="00196438" w:rsidRDefault="00704B68" w:rsidP="00704B68">
      <w:pPr>
        <w:tabs>
          <w:tab w:val="left" w:pos="708"/>
          <w:tab w:val="left" w:pos="6674"/>
        </w:tabs>
        <w:suppressAutoHyphens/>
        <w:spacing w:after="0"/>
        <w:jc w:val="both"/>
        <w:rPr>
          <w:rFonts w:ascii="Open Sans" w:eastAsia="Times New Roman" w:hAnsi="Open Sans" w:cs="Open Sans"/>
          <w:sz w:val="18"/>
          <w:szCs w:val="18"/>
          <w:lang w:eastAsia="ar-SA"/>
        </w:rPr>
      </w:pPr>
    </w:p>
    <w:p w14:paraId="7CC853A7" w14:textId="77777777" w:rsidR="00704B68" w:rsidRPr="00196438" w:rsidRDefault="00704B68" w:rsidP="00704B68">
      <w:pPr>
        <w:numPr>
          <w:ilvl w:val="1"/>
          <w:numId w:val="5"/>
        </w:numPr>
        <w:suppressAutoHyphens/>
        <w:spacing w:after="0" w:line="240" w:lineRule="auto"/>
        <w:ind w:left="284" w:hanging="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Musí ísť o výklad za použitia vnútroštátnym poriadkom aprobovaných výkladových metód</w:t>
      </w:r>
      <w:r w:rsidRPr="00196438">
        <w:rPr>
          <w:rFonts w:ascii="Open Sans" w:eastAsia="Times New Roman" w:hAnsi="Open Sans" w:cs="Open Sans"/>
          <w:sz w:val="18"/>
          <w:szCs w:val="18"/>
          <w:vertAlign w:val="superscript"/>
          <w:lang w:eastAsia="ar-SA"/>
        </w:rPr>
        <w:footnoteReference w:id="19"/>
      </w:r>
      <w:r w:rsidRPr="00196438">
        <w:rPr>
          <w:rFonts w:ascii="Open Sans" w:eastAsia="Times New Roman" w:hAnsi="Open Sans" w:cs="Open Sans"/>
          <w:sz w:val="18"/>
          <w:szCs w:val="18"/>
          <w:lang w:eastAsia="ar-SA"/>
        </w:rPr>
        <w:t xml:space="preserve"> </w:t>
      </w:r>
    </w:p>
    <w:p w14:paraId="7CC853A8"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Slovenská republika má aprobované v zásade tieto výklady:</w:t>
      </w:r>
    </w:p>
    <w:p w14:paraId="7CC853A9" w14:textId="77777777" w:rsidR="00704B68" w:rsidRPr="00196438" w:rsidRDefault="00704B68" w:rsidP="00704B68">
      <w:pPr>
        <w:numPr>
          <w:ilvl w:val="0"/>
          <w:numId w:val="6"/>
        </w:numPr>
        <w:suppressAutoHyphens/>
        <w:spacing w:after="0" w:line="240" w:lineRule="auto"/>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u w:val="single"/>
          <w:lang w:eastAsia="ar-SA"/>
        </w:rPr>
        <w:t>jazykový (gramatický, verbálny) výklad</w:t>
      </w:r>
    </w:p>
    <w:p w14:paraId="7CC853AA" w14:textId="77777777" w:rsidR="00704B68" w:rsidRPr="00196438" w:rsidRDefault="00704B68" w:rsidP="00704B68">
      <w:pPr>
        <w:suppressAutoHyphens/>
        <w:spacing w:after="0"/>
        <w:ind w:left="100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Ako sme uviedli vyššie, z jazykového výkladu Zákona vyplýva výklad členenia splátok na splátky istiny, úrokov a poplatkov</w:t>
      </w:r>
    </w:p>
    <w:p w14:paraId="7CC853AB" w14:textId="77777777" w:rsidR="00704B68" w:rsidRPr="00196438" w:rsidRDefault="00704B68" w:rsidP="00704B68">
      <w:pPr>
        <w:numPr>
          <w:ilvl w:val="0"/>
          <w:numId w:val="6"/>
        </w:numPr>
        <w:suppressAutoHyphens/>
        <w:spacing w:after="0" w:line="240" w:lineRule="auto"/>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u w:val="single"/>
          <w:lang w:eastAsia="ar-SA"/>
        </w:rPr>
        <w:t>logický výklad</w:t>
      </w:r>
    </w:p>
    <w:p w14:paraId="7CC853AC" w14:textId="77777777" w:rsidR="00704B68" w:rsidRPr="00196438" w:rsidRDefault="00704B68" w:rsidP="00704B68">
      <w:pPr>
        <w:suppressAutoHyphens/>
        <w:spacing w:after="0"/>
        <w:ind w:left="100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zákonodarca nepoužil rovnakú terminológiu, ako Smernica, ale v Zákone špecifikoval splátky na splátky úrokov, istiny a poplatkov. Logicky teda chcel povedať niečo iné ako Smernica (bez ohľadu na to, či tak zakotviť mohol alebo nie, podstatné je, že to tak zakotvil)</w:t>
      </w:r>
    </w:p>
    <w:p w14:paraId="7CC853AD" w14:textId="77777777" w:rsidR="00704B68" w:rsidRPr="00196438" w:rsidRDefault="00704B68" w:rsidP="00704B68">
      <w:pPr>
        <w:numPr>
          <w:ilvl w:val="0"/>
          <w:numId w:val="6"/>
        </w:numPr>
        <w:suppressAutoHyphens/>
        <w:spacing w:after="0" w:line="240" w:lineRule="auto"/>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u w:val="single"/>
          <w:lang w:eastAsia="ar-SA"/>
        </w:rPr>
        <w:t>historický výklad, systematický výklad, teleologický výklad</w:t>
      </w:r>
    </w:p>
    <w:p w14:paraId="7CC853AE" w14:textId="77777777" w:rsidR="00704B68" w:rsidRPr="00196438" w:rsidRDefault="00704B68" w:rsidP="00704B68">
      <w:pPr>
        <w:suppressAutoHyphens/>
        <w:spacing w:after="0"/>
        <w:ind w:left="100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tieto výklady sú pre účely výkladu daného ustanovenia úplne irelevantné.</w:t>
      </w:r>
    </w:p>
    <w:p w14:paraId="7CC853AF"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p>
    <w:p w14:paraId="7CC853B0"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Opäť, vnútroštátne súdy vykladali predmetné znenia Zákona už v stovkách prípadov a za použitia vnútroštátnych výkladových metód (veď iné metódy ani použiť nemôžu) dospeli k záveru, že sa vyžaduje členenie splátok na splátky istiny, úrokov a poplatkov. </w:t>
      </w:r>
    </w:p>
    <w:p w14:paraId="7CC853B1"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p>
    <w:p w14:paraId="7CC853B2" w14:textId="77777777" w:rsidR="00704B68" w:rsidRPr="00196438" w:rsidRDefault="00704B68" w:rsidP="00704B68">
      <w:pPr>
        <w:numPr>
          <w:ilvl w:val="1"/>
          <w:numId w:val="5"/>
        </w:numPr>
        <w:suppressAutoHyphens/>
        <w:spacing w:after="0" w:line="240" w:lineRule="auto"/>
        <w:ind w:left="284" w:hanging="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Nesmie sa jednať o výklad </w:t>
      </w:r>
      <w:proofErr w:type="spellStart"/>
      <w:r w:rsidRPr="00196438">
        <w:rPr>
          <w:rFonts w:ascii="Open Sans" w:eastAsia="Times New Roman" w:hAnsi="Open Sans" w:cs="Open Sans"/>
          <w:i/>
          <w:sz w:val="18"/>
          <w:szCs w:val="18"/>
          <w:lang w:eastAsia="ar-SA"/>
        </w:rPr>
        <w:t>contra</w:t>
      </w:r>
      <w:proofErr w:type="spellEnd"/>
      <w:r w:rsidRPr="00196438">
        <w:rPr>
          <w:rFonts w:ascii="Open Sans" w:eastAsia="Times New Roman" w:hAnsi="Open Sans" w:cs="Open Sans"/>
          <w:i/>
          <w:sz w:val="18"/>
          <w:szCs w:val="18"/>
          <w:lang w:eastAsia="ar-SA"/>
        </w:rPr>
        <w:t xml:space="preserve"> </w:t>
      </w:r>
      <w:proofErr w:type="spellStart"/>
      <w:r w:rsidRPr="00196438">
        <w:rPr>
          <w:rFonts w:ascii="Open Sans" w:eastAsia="Times New Roman" w:hAnsi="Open Sans" w:cs="Open Sans"/>
          <w:i/>
          <w:sz w:val="18"/>
          <w:szCs w:val="18"/>
          <w:lang w:eastAsia="ar-SA"/>
        </w:rPr>
        <w:t>legem</w:t>
      </w:r>
      <w:proofErr w:type="spellEnd"/>
      <w:r w:rsidRPr="00196438">
        <w:rPr>
          <w:rFonts w:ascii="Open Sans" w:eastAsia="Times New Roman" w:hAnsi="Open Sans" w:cs="Open Sans"/>
          <w:sz w:val="18"/>
          <w:szCs w:val="18"/>
          <w:lang w:eastAsia="ar-SA"/>
        </w:rPr>
        <w:t xml:space="preserve"> a nesmú byť porušené všeobecné právne zásady</w:t>
      </w:r>
      <w:r w:rsidRPr="00196438">
        <w:rPr>
          <w:rFonts w:ascii="Open Sans" w:eastAsia="Times New Roman" w:hAnsi="Open Sans" w:cs="Open Sans"/>
          <w:sz w:val="18"/>
          <w:szCs w:val="18"/>
          <w:vertAlign w:val="superscript"/>
          <w:lang w:eastAsia="ar-SA"/>
        </w:rPr>
        <w:footnoteReference w:id="20"/>
      </w:r>
      <w:r w:rsidRPr="00196438">
        <w:rPr>
          <w:rFonts w:ascii="Open Sans" w:eastAsia="Times New Roman" w:hAnsi="Open Sans" w:cs="Open Sans"/>
          <w:sz w:val="18"/>
          <w:szCs w:val="18"/>
          <w:lang w:eastAsia="ar-SA"/>
        </w:rPr>
        <w:t xml:space="preserve"> </w:t>
      </w:r>
    </w:p>
    <w:p w14:paraId="7CC853B3"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u w:val="single"/>
          <w:lang w:eastAsia="ar-SA"/>
        </w:rPr>
        <w:t xml:space="preserve">Uznané vnútroštátne výkladové metódy vytvárajú právny rámec pre realizáciu povinnosti súladného výkladu... To ale neznamená, že tieto metódy môžu viesť k akémukoľvek výsledku, len aby bol dosiahnutý cieľ </w:t>
      </w:r>
      <w:r w:rsidRPr="00196438">
        <w:rPr>
          <w:rFonts w:ascii="Open Sans" w:eastAsia="Times New Roman" w:hAnsi="Open Sans" w:cs="Open Sans"/>
          <w:i/>
          <w:sz w:val="18"/>
          <w:szCs w:val="18"/>
          <w:u w:val="single"/>
          <w:lang w:eastAsia="ar-SA"/>
        </w:rPr>
        <w:lastRenderedPageBreak/>
        <w:t>Smernice</w:t>
      </w:r>
      <w:r w:rsidRPr="00196438">
        <w:rPr>
          <w:rFonts w:ascii="Open Sans" w:eastAsia="Times New Roman" w:hAnsi="Open Sans" w:cs="Open Sans"/>
          <w:i/>
          <w:sz w:val="18"/>
          <w:szCs w:val="18"/>
          <w:vertAlign w:val="superscript"/>
          <w:lang w:eastAsia="ar-SA"/>
        </w:rPr>
        <w:footnoteReference w:id="21"/>
      </w:r>
      <w:r w:rsidRPr="00196438">
        <w:rPr>
          <w:rFonts w:ascii="Open Sans" w:eastAsia="Times New Roman" w:hAnsi="Open Sans" w:cs="Open Sans"/>
          <w:sz w:val="18"/>
          <w:szCs w:val="18"/>
          <w:lang w:eastAsia="ar-SA"/>
        </w:rPr>
        <w:t xml:space="preserve">". Súdny dvor EÚ sám stanovil medze, ktoré súladný výklad má, hoci by sa opieral o uznanú vnútroštátnu metódu. Súdny dvor tieto medze prehľadne zhrnul vo veci </w:t>
      </w:r>
      <w:proofErr w:type="spellStart"/>
      <w:r w:rsidRPr="00196438">
        <w:rPr>
          <w:rFonts w:ascii="Open Sans" w:eastAsia="Times New Roman" w:hAnsi="Open Sans" w:cs="Open Sans"/>
          <w:sz w:val="18"/>
          <w:szCs w:val="18"/>
          <w:lang w:eastAsia="ar-SA"/>
        </w:rPr>
        <w:t>Adeneler</w:t>
      </w:r>
      <w:proofErr w:type="spellEnd"/>
      <w:r w:rsidRPr="00196438">
        <w:rPr>
          <w:rFonts w:ascii="Open Sans" w:eastAsia="Times New Roman" w:hAnsi="Open Sans" w:cs="Open Sans"/>
          <w:sz w:val="18"/>
          <w:szCs w:val="18"/>
          <w:lang w:eastAsia="ar-SA"/>
        </w:rPr>
        <w:t>, C-212/04, Rozsudok Súdneho dvora EÚ zo 4. júla 2006, keď uviedol, že "</w:t>
      </w:r>
      <w:r w:rsidRPr="00196438">
        <w:rPr>
          <w:rFonts w:ascii="Open Sans" w:eastAsia="Times New Roman" w:hAnsi="Open Sans" w:cs="Open Sans"/>
          <w:i/>
          <w:sz w:val="18"/>
          <w:szCs w:val="18"/>
          <w:u w:val="single"/>
          <w:lang w:eastAsia="ar-SA"/>
        </w:rPr>
        <w:t>povinnosť vnútroštátneho sudcu</w:t>
      </w:r>
      <w:r w:rsidRPr="00196438">
        <w:rPr>
          <w:rFonts w:ascii="Open Sans" w:eastAsia="Times New Roman" w:hAnsi="Open Sans" w:cs="Open Sans"/>
          <w:i/>
          <w:sz w:val="18"/>
          <w:szCs w:val="18"/>
          <w:lang w:eastAsia="ar-SA"/>
        </w:rPr>
        <w:t xml:space="preserve"> odvolávať sa na obsah smernice pri výklade a uplatňovaní relevantných ustanovení vnútroštátneho práva </w:t>
      </w:r>
      <w:r w:rsidRPr="00196438">
        <w:rPr>
          <w:rFonts w:ascii="Open Sans" w:eastAsia="Times New Roman" w:hAnsi="Open Sans" w:cs="Open Sans"/>
          <w:i/>
          <w:sz w:val="18"/>
          <w:szCs w:val="18"/>
          <w:u w:val="single"/>
          <w:lang w:eastAsia="ar-SA"/>
        </w:rPr>
        <w:t xml:space="preserve">je obmedzená všeobecnými zásadami práva, najmä právnou istotou a zákazom retroaktivity, a nemôže slúžiť ako základ pre výklad </w:t>
      </w:r>
      <w:proofErr w:type="spellStart"/>
      <w:r w:rsidRPr="00196438">
        <w:rPr>
          <w:rFonts w:ascii="Open Sans" w:eastAsia="Times New Roman" w:hAnsi="Open Sans" w:cs="Open Sans"/>
          <w:i/>
          <w:sz w:val="18"/>
          <w:szCs w:val="18"/>
          <w:u w:val="single"/>
          <w:lang w:eastAsia="ar-SA"/>
        </w:rPr>
        <w:t>contra</w:t>
      </w:r>
      <w:proofErr w:type="spellEnd"/>
      <w:r w:rsidRPr="00196438">
        <w:rPr>
          <w:rFonts w:ascii="Open Sans" w:eastAsia="Times New Roman" w:hAnsi="Open Sans" w:cs="Open Sans"/>
          <w:i/>
          <w:sz w:val="18"/>
          <w:szCs w:val="18"/>
          <w:u w:val="single"/>
          <w:lang w:eastAsia="ar-SA"/>
        </w:rPr>
        <w:t xml:space="preserve"> </w:t>
      </w:r>
      <w:proofErr w:type="spellStart"/>
      <w:r w:rsidRPr="00196438">
        <w:rPr>
          <w:rFonts w:ascii="Open Sans" w:eastAsia="Times New Roman" w:hAnsi="Open Sans" w:cs="Open Sans"/>
          <w:i/>
          <w:sz w:val="18"/>
          <w:szCs w:val="18"/>
          <w:u w:val="single"/>
          <w:lang w:eastAsia="ar-SA"/>
        </w:rPr>
        <w:t>legem</w:t>
      </w:r>
      <w:proofErr w:type="spellEnd"/>
      <w:r w:rsidRPr="00196438">
        <w:rPr>
          <w:rFonts w:ascii="Open Sans" w:eastAsia="Times New Roman" w:hAnsi="Open Sans" w:cs="Open Sans"/>
          <w:i/>
          <w:sz w:val="18"/>
          <w:szCs w:val="18"/>
          <w:u w:val="single"/>
          <w:lang w:eastAsia="ar-SA"/>
        </w:rPr>
        <w:t xml:space="preserve"> vnútroštátneho práva</w:t>
      </w:r>
      <w:r w:rsidRPr="00196438">
        <w:rPr>
          <w:rFonts w:ascii="Open Sans" w:eastAsia="Times New Roman" w:hAnsi="Open Sans" w:cs="Open Sans"/>
          <w:i/>
          <w:sz w:val="18"/>
          <w:szCs w:val="18"/>
          <w:lang w:eastAsia="ar-SA"/>
        </w:rPr>
        <w:t xml:space="preserve"> (pozri analogicky rozsudok zo 16. júna 2005, </w:t>
      </w:r>
      <w:proofErr w:type="spellStart"/>
      <w:r w:rsidRPr="00196438">
        <w:rPr>
          <w:rFonts w:ascii="Open Sans" w:eastAsia="Times New Roman" w:hAnsi="Open Sans" w:cs="Open Sans"/>
          <w:i/>
          <w:sz w:val="18"/>
          <w:szCs w:val="18"/>
          <w:lang w:eastAsia="ar-SA"/>
        </w:rPr>
        <w:t>Pupino</w:t>
      </w:r>
      <w:proofErr w:type="spellEnd"/>
      <w:r w:rsidRPr="00196438">
        <w:rPr>
          <w:rFonts w:ascii="Open Sans" w:eastAsia="Times New Roman" w:hAnsi="Open Sans" w:cs="Open Sans"/>
          <w:i/>
          <w:sz w:val="18"/>
          <w:szCs w:val="18"/>
          <w:lang w:eastAsia="ar-SA"/>
        </w:rPr>
        <w:t>, C-105/03, Zb. s. I-5285, body 44 a 47)</w:t>
      </w:r>
      <w:r w:rsidRPr="00196438">
        <w:rPr>
          <w:rFonts w:ascii="Open Sans" w:eastAsia="Times New Roman" w:hAnsi="Open Sans" w:cs="Open Sans"/>
          <w:i/>
          <w:sz w:val="18"/>
          <w:szCs w:val="18"/>
          <w:vertAlign w:val="superscript"/>
          <w:lang w:eastAsia="ar-SA"/>
        </w:rPr>
        <w:footnoteReference w:id="22"/>
      </w:r>
      <w:r w:rsidRPr="00196438">
        <w:rPr>
          <w:rFonts w:ascii="Open Sans" w:eastAsia="Times New Roman" w:hAnsi="Open Sans" w:cs="Open Sans"/>
          <w:sz w:val="18"/>
          <w:szCs w:val="18"/>
          <w:lang w:eastAsia="ar-SA"/>
        </w:rPr>
        <w:t xml:space="preserve">". Obdobne sa v tejto veci vyjadruje tiež rozsudok Súdneho dvora EÚ vo veci </w:t>
      </w:r>
      <w:proofErr w:type="spellStart"/>
      <w:r w:rsidRPr="00196438">
        <w:rPr>
          <w:rFonts w:ascii="Open Sans" w:eastAsia="Times New Roman" w:hAnsi="Open Sans" w:cs="Open Sans"/>
          <w:i/>
          <w:sz w:val="18"/>
          <w:szCs w:val="18"/>
          <w:lang w:eastAsia="ar-SA"/>
        </w:rPr>
        <w:t>Impact</w:t>
      </w:r>
      <w:proofErr w:type="spellEnd"/>
      <w:r w:rsidRPr="00196438">
        <w:rPr>
          <w:rFonts w:ascii="Open Sans" w:eastAsia="Times New Roman" w:hAnsi="Open Sans" w:cs="Open Sans"/>
          <w:sz w:val="18"/>
          <w:szCs w:val="18"/>
          <w:lang w:eastAsia="ar-SA"/>
        </w:rPr>
        <w:t>, C-268/06, z 15. apríla 2008, body 95, 100, 103 a ďalšie rozsudky Súdneho dvora EÚ.</w:t>
      </w:r>
    </w:p>
    <w:p w14:paraId="7CC853B4" w14:textId="77777777" w:rsidR="00704B68" w:rsidRPr="00196438" w:rsidRDefault="00704B68" w:rsidP="00704B68">
      <w:pPr>
        <w:suppressAutoHyphens/>
        <w:spacing w:after="0"/>
        <w:jc w:val="both"/>
        <w:rPr>
          <w:rFonts w:ascii="Open Sans" w:eastAsia="Times New Roman" w:hAnsi="Open Sans" w:cs="Open Sans"/>
          <w:sz w:val="18"/>
          <w:szCs w:val="18"/>
          <w:lang w:eastAsia="ar-SA"/>
        </w:rPr>
      </w:pPr>
    </w:p>
    <w:p w14:paraId="7CC853B5"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Vzhľadom na explicitné znenie Zákona v časti členenia splátok na splátky istiny, splátky úrokov a splátky poplatkov, by súdy, ak by po </w:t>
      </w:r>
      <w:proofErr w:type="spellStart"/>
      <w:r w:rsidRPr="00196438">
        <w:rPr>
          <w:rFonts w:ascii="Open Sans" w:eastAsia="Times New Roman" w:hAnsi="Open Sans" w:cs="Open Sans"/>
          <w:sz w:val="18"/>
          <w:szCs w:val="18"/>
          <w:lang w:eastAsia="ar-SA"/>
        </w:rPr>
        <w:t>Rozsdku</w:t>
      </w:r>
      <w:proofErr w:type="spellEnd"/>
      <w:r w:rsidRPr="00196438">
        <w:rPr>
          <w:rFonts w:ascii="Open Sans" w:eastAsia="Times New Roman" w:hAnsi="Open Sans" w:cs="Open Sans"/>
          <w:sz w:val="18"/>
          <w:szCs w:val="18"/>
          <w:lang w:eastAsia="ar-SA"/>
        </w:rPr>
        <w:t xml:space="preserve"> C42-15 vyložili toto ustanovenie </w:t>
      </w:r>
      <w:proofErr w:type="spellStart"/>
      <w:r w:rsidRPr="00196438">
        <w:rPr>
          <w:rFonts w:ascii="Open Sans" w:eastAsia="Times New Roman" w:hAnsi="Open Sans" w:cs="Open Sans"/>
          <w:sz w:val="18"/>
          <w:szCs w:val="18"/>
          <w:lang w:eastAsia="ar-SA"/>
        </w:rPr>
        <w:t>eurokonformne</w:t>
      </w:r>
      <w:proofErr w:type="spellEnd"/>
      <w:r w:rsidRPr="00196438">
        <w:rPr>
          <w:rFonts w:ascii="Open Sans" w:eastAsia="Times New Roman" w:hAnsi="Open Sans" w:cs="Open Sans"/>
          <w:sz w:val="18"/>
          <w:szCs w:val="18"/>
          <w:lang w:eastAsia="ar-SA"/>
        </w:rPr>
        <w:t xml:space="preserve"> tak, že zmluva nemusí obsahovať členenie splátok na splátky istiny, úrokov a iných poplatkov, prípadne v otázke, kedy je zmluva o úvere bezúročná a bez poplatkov, doslova "zlomili" vnútroštátne právo a toto vnútroštátne právo by nahradili Smernicou (čo je postup typický pre priamy účinok). Nakoľko sa ale jedná o spory medzi jednotlivcami, priamy účinok je vylúčený a teda môžeme uvažovať iba o účinku nepriamom, takýto postup nebude možný, pretože by sa jednalo o výklad práva </w:t>
      </w:r>
      <w:proofErr w:type="spellStart"/>
      <w:r w:rsidRPr="00196438">
        <w:rPr>
          <w:rFonts w:ascii="Open Sans" w:eastAsia="Times New Roman" w:hAnsi="Open Sans" w:cs="Open Sans"/>
          <w:i/>
          <w:sz w:val="18"/>
          <w:szCs w:val="18"/>
          <w:lang w:eastAsia="ar-SA"/>
        </w:rPr>
        <w:t>contra</w:t>
      </w:r>
      <w:proofErr w:type="spellEnd"/>
      <w:r w:rsidRPr="00196438">
        <w:rPr>
          <w:rFonts w:ascii="Open Sans" w:eastAsia="Times New Roman" w:hAnsi="Open Sans" w:cs="Open Sans"/>
          <w:i/>
          <w:sz w:val="18"/>
          <w:szCs w:val="18"/>
          <w:lang w:eastAsia="ar-SA"/>
        </w:rPr>
        <w:t xml:space="preserve"> </w:t>
      </w:r>
      <w:proofErr w:type="spellStart"/>
      <w:r w:rsidRPr="00196438">
        <w:rPr>
          <w:rFonts w:ascii="Open Sans" w:eastAsia="Times New Roman" w:hAnsi="Open Sans" w:cs="Open Sans"/>
          <w:i/>
          <w:sz w:val="18"/>
          <w:szCs w:val="18"/>
          <w:lang w:eastAsia="ar-SA"/>
        </w:rPr>
        <w:t>legem</w:t>
      </w:r>
      <w:proofErr w:type="spellEnd"/>
      <w:r w:rsidRPr="00196438">
        <w:rPr>
          <w:rFonts w:ascii="Open Sans" w:eastAsia="Times New Roman" w:hAnsi="Open Sans" w:cs="Open Sans"/>
          <w:sz w:val="18"/>
          <w:szCs w:val="18"/>
          <w:lang w:eastAsia="ar-SA"/>
        </w:rPr>
        <w:t xml:space="preserve">. </w:t>
      </w:r>
    </w:p>
    <w:p w14:paraId="7CC853B6" w14:textId="77777777" w:rsidR="00704B68" w:rsidRPr="00196438" w:rsidRDefault="00704B68" w:rsidP="00704B68">
      <w:pPr>
        <w:suppressAutoHyphens/>
        <w:spacing w:after="0"/>
        <w:jc w:val="both"/>
        <w:rPr>
          <w:rFonts w:ascii="Open Sans" w:eastAsia="Times New Roman" w:hAnsi="Open Sans" w:cs="Open Sans"/>
          <w:sz w:val="18"/>
          <w:szCs w:val="18"/>
          <w:lang w:eastAsia="ar-SA"/>
        </w:rPr>
      </w:pPr>
    </w:p>
    <w:p w14:paraId="7CC853B7" w14:textId="77777777" w:rsidR="00704B68" w:rsidRPr="00196438" w:rsidRDefault="00704B68" w:rsidP="00704B68">
      <w:pPr>
        <w:suppressAutoHyphens/>
        <w:spacing w:after="0"/>
        <w:ind w:left="284"/>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Zároveň, výklad Zákona nemôže narúšať všeobecné právne zásady, najmä zásadu právnej istoty. Pojem právnej istoty je v slovenskom Civilnom sporovom poriadku vyjadrený v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článku 2 ods. 2 ako "</w:t>
      </w:r>
      <w:r w:rsidRPr="00196438">
        <w:rPr>
          <w:rFonts w:ascii="Open Sans" w:eastAsia="Times New Roman" w:hAnsi="Open Sans" w:cs="Open Sans"/>
          <w:i/>
          <w:sz w:val="18"/>
          <w:szCs w:val="18"/>
          <w:lang w:eastAsia="ar-SA"/>
        </w:rPr>
        <w:t>stav, v ktorom každý môže legitímne očakávať, že jeho spor bude rozhodnutý v súlade s ustálenou rozhodovacou praxou najvyšších súdnych autorít; ak takej ustálenej rozhodovacej praxe niet, aj stav, v ktorom každý môže legitímne očakávať, že jeho spor bude rozhodnutý spravodlivo</w:t>
      </w:r>
      <w:r w:rsidRPr="00196438">
        <w:rPr>
          <w:rFonts w:ascii="Open Sans" w:eastAsia="Times New Roman" w:hAnsi="Open Sans" w:cs="Open Sans"/>
          <w:sz w:val="18"/>
          <w:szCs w:val="18"/>
          <w:lang w:eastAsia="ar-SA"/>
        </w:rPr>
        <w:t>".</w:t>
      </w:r>
    </w:p>
    <w:p w14:paraId="7CC853B8" w14:textId="77777777" w:rsidR="00704B68" w:rsidRPr="00196438" w:rsidRDefault="00704B68" w:rsidP="00704B68">
      <w:pPr>
        <w:suppressAutoHyphens/>
        <w:spacing w:after="0"/>
        <w:jc w:val="both"/>
        <w:rPr>
          <w:rFonts w:ascii="Open Sans" w:eastAsia="Times New Roman" w:hAnsi="Open Sans" w:cs="Open Sans"/>
          <w:sz w:val="18"/>
          <w:szCs w:val="18"/>
          <w:lang w:eastAsia="ar-SA"/>
        </w:rPr>
      </w:pPr>
    </w:p>
    <w:p w14:paraId="7CC853B9" w14:textId="77777777" w:rsidR="00704B68" w:rsidRPr="00196438" w:rsidRDefault="00704B68" w:rsidP="00704B68">
      <w:pPr>
        <w:suppressAutoHyphens/>
        <w:spacing w:after="0"/>
        <w:ind w:left="284"/>
        <w:jc w:val="both"/>
        <w:rPr>
          <w:rFonts w:ascii="Open Sans" w:eastAsia="Times New Roman" w:hAnsi="Open Sans" w:cs="Open Sans"/>
          <w:sz w:val="18"/>
          <w:szCs w:val="18"/>
          <w:u w:val="single"/>
          <w:lang w:eastAsia="ar-SA"/>
        </w:rPr>
      </w:pPr>
      <w:r w:rsidRPr="00196438">
        <w:rPr>
          <w:rFonts w:ascii="Open Sans" w:eastAsia="Times New Roman" w:hAnsi="Open Sans" w:cs="Open Sans"/>
          <w:sz w:val="18"/>
          <w:szCs w:val="18"/>
          <w:lang w:eastAsia="ar-SA"/>
        </w:rPr>
        <w:t xml:space="preserve">Ako </w:t>
      </w:r>
      <w:r w:rsidR="008431DA" w:rsidRPr="00196438">
        <w:rPr>
          <w:rFonts w:ascii="Open Sans" w:eastAsia="Times New Roman" w:hAnsi="Open Sans" w:cs="Open Sans"/>
          <w:sz w:val="18"/>
          <w:szCs w:val="18"/>
          <w:lang w:eastAsia="ar-SA"/>
        </w:rPr>
        <w:t>som už naznačil</w:t>
      </w:r>
      <w:r w:rsidRPr="00196438">
        <w:rPr>
          <w:rFonts w:ascii="Open Sans" w:eastAsia="Times New Roman" w:hAnsi="Open Sans" w:cs="Open Sans"/>
          <w:sz w:val="18"/>
          <w:szCs w:val="18"/>
          <w:lang w:eastAsia="ar-SA"/>
        </w:rPr>
        <w:t xml:space="preserve"> niekoľko krát v tomto príspevku,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xml:space="preserve">. § 9 ods. 2 písm. k) Zákona už bol predmetom výkladu v stovkách prípadoch a v súlade s ustálenou rozhodovacou praxou najvyšších súdnych autorít, ktoré museli vykladať Zákon </w:t>
      </w:r>
      <w:proofErr w:type="spellStart"/>
      <w:r w:rsidRPr="00196438">
        <w:rPr>
          <w:rFonts w:ascii="Open Sans" w:eastAsia="Times New Roman" w:hAnsi="Open Sans" w:cs="Open Sans"/>
          <w:sz w:val="18"/>
          <w:szCs w:val="18"/>
          <w:lang w:eastAsia="ar-SA"/>
        </w:rPr>
        <w:t>eurokonformne</w:t>
      </w:r>
      <w:proofErr w:type="spellEnd"/>
      <w:r w:rsidRPr="00196438">
        <w:rPr>
          <w:rFonts w:ascii="Open Sans" w:eastAsia="Times New Roman" w:hAnsi="Open Sans" w:cs="Open Sans"/>
          <w:sz w:val="18"/>
          <w:szCs w:val="18"/>
          <w:lang w:eastAsia="ar-SA"/>
        </w:rPr>
        <w:t xml:space="preserve"> od 11. júna 2008</w:t>
      </w:r>
      <w:r w:rsidR="008431DA" w:rsidRPr="00196438">
        <w:rPr>
          <w:rFonts w:ascii="Open Sans" w:eastAsia="Times New Roman" w:hAnsi="Open Sans" w:cs="Open Sans"/>
          <w:sz w:val="18"/>
          <w:szCs w:val="18"/>
          <w:lang w:eastAsia="ar-SA"/>
        </w:rPr>
        <w:t xml:space="preserve"> (viac k časovému aspektu </w:t>
      </w:r>
      <w:proofErr w:type="spellStart"/>
      <w:r w:rsidR="008431DA" w:rsidRPr="00196438">
        <w:rPr>
          <w:rFonts w:ascii="Open Sans" w:eastAsia="Times New Roman" w:hAnsi="Open Sans" w:cs="Open Sans"/>
          <w:sz w:val="18"/>
          <w:szCs w:val="18"/>
          <w:lang w:eastAsia="ar-SA"/>
        </w:rPr>
        <w:t>eurokonformného</w:t>
      </w:r>
      <w:proofErr w:type="spellEnd"/>
      <w:r w:rsidR="008431DA" w:rsidRPr="00196438">
        <w:rPr>
          <w:rFonts w:ascii="Open Sans" w:eastAsia="Times New Roman" w:hAnsi="Open Sans" w:cs="Open Sans"/>
          <w:sz w:val="18"/>
          <w:szCs w:val="18"/>
          <w:lang w:eastAsia="ar-SA"/>
        </w:rPr>
        <w:t xml:space="preserve"> výkladu uvádzam v časti 4.2.2 nižšie)</w:t>
      </w:r>
      <w:r w:rsidRPr="00196438">
        <w:rPr>
          <w:rFonts w:ascii="Open Sans" w:eastAsia="Times New Roman" w:hAnsi="Open Sans" w:cs="Open Sans"/>
          <w:sz w:val="18"/>
          <w:szCs w:val="18"/>
          <w:lang w:eastAsia="ar-SA"/>
        </w:rPr>
        <w:t>, je potrebné toto ustanovenie vykladať tak, že sa vyžaduje členenie splátok na splátky istiny, úrokov a poplatkov.</w:t>
      </w:r>
    </w:p>
    <w:p w14:paraId="7CC853BA" w14:textId="77777777" w:rsidR="00704B68" w:rsidRPr="00196438" w:rsidRDefault="00704B68" w:rsidP="00704B68">
      <w:pPr>
        <w:suppressAutoHyphens/>
        <w:spacing w:after="0"/>
        <w:ind w:left="284"/>
        <w:jc w:val="both"/>
        <w:rPr>
          <w:rFonts w:ascii="Open Sans" w:eastAsia="Times New Roman" w:hAnsi="Open Sans" w:cs="Open Sans"/>
          <w:sz w:val="18"/>
          <w:szCs w:val="18"/>
          <w:u w:val="single"/>
          <w:lang w:eastAsia="ar-SA"/>
        </w:rPr>
      </w:pPr>
    </w:p>
    <w:p w14:paraId="7CC853BB" w14:textId="77777777" w:rsidR="00704B68" w:rsidRPr="00196438" w:rsidRDefault="00813CB8" w:rsidP="00704B68">
      <w:pPr>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Z vyššie uvedeného rozsahu a medzí </w:t>
      </w:r>
      <w:proofErr w:type="spellStart"/>
      <w:r w:rsidRPr="00196438">
        <w:rPr>
          <w:rFonts w:ascii="Open Sans" w:eastAsia="Times New Roman" w:hAnsi="Open Sans" w:cs="Open Sans"/>
          <w:sz w:val="18"/>
          <w:szCs w:val="18"/>
          <w:lang w:eastAsia="ar-SA"/>
        </w:rPr>
        <w:t>eurokonformného</w:t>
      </w:r>
      <w:proofErr w:type="spellEnd"/>
      <w:r w:rsidRPr="00196438">
        <w:rPr>
          <w:rFonts w:ascii="Open Sans" w:eastAsia="Times New Roman" w:hAnsi="Open Sans" w:cs="Open Sans"/>
          <w:sz w:val="18"/>
          <w:szCs w:val="18"/>
          <w:lang w:eastAsia="ar-SA"/>
        </w:rPr>
        <w:t xml:space="preserve"> výkladu vyplýva, že predmetným ustanoveniam Zákona, napriek Rozsudku C-42/15, nie je možné priznať nepriamy účinok. Na to, aby bolo možné vykladať Zákon v súlade so Smernicou, by bolo potrebné Zákon novelizovať a zosúladiť s textom Smernice, inak by sa jednalo o výklad Zákona </w:t>
      </w:r>
      <w:proofErr w:type="spellStart"/>
      <w:r w:rsidRPr="00196438">
        <w:rPr>
          <w:rFonts w:ascii="Open Sans" w:eastAsia="Times New Roman" w:hAnsi="Open Sans" w:cs="Open Sans"/>
          <w:sz w:val="18"/>
          <w:szCs w:val="18"/>
          <w:lang w:eastAsia="ar-SA"/>
        </w:rPr>
        <w:t>contra</w:t>
      </w:r>
      <w:proofErr w:type="spellEnd"/>
      <w:r w:rsidRPr="00196438">
        <w:rPr>
          <w:rFonts w:ascii="Open Sans" w:eastAsia="Times New Roman" w:hAnsi="Open Sans" w:cs="Open Sans"/>
          <w:sz w:val="18"/>
          <w:szCs w:val="18"/>
          <w:lang w:eastAsia="ar-SA"/>
        </w:rPr>
        <w:t xml:space="preserve"> </w:t>
      </w:r>
      <w:proofErr w:type="spellStart"/>
      <w:r w:rsidRPr="00196438">
        <w:rPr>
          <w:rFonts w:ascii="Open Sans" w:eastAsia="Times New Roman" w:hAnsi="Open Sans" w:cs="Open Sans"/>
          <w:sz w:val="18"/>
          <w:szCs w:val="18"/>
          <w:lang w:eastAsia="ar-SA"/>
        </w:rPr>
        <w:t>legem</w:t>
      </w:r>
      <w:proofErr w:type="spellEnd"/>
      <w:r w:rsidRPr="00196438">
        <w:rPr>
          <w:rFonts w:ascii="Open Sans" w:eastAsia="Times New Roman" w:hAnsi="Open Sans" w:cs="Open Sans"/>
          <w:sz w:val="18"/>
          <w:szCs w:val="18"/>
          <w:lang w:eastAsia="ar-SA"/>
        </w:rPr>
        <w:t xml:space="preserve"> a bola by porušená zásada právnej istoty</w:t>
      </w:r>
      <w:r w:rsidR="00704B68" w:rsidRPr="00196438">
        <w:rPr>
          <w:rFonts w:ascii="Open Sans" w:eastAsia="Times New Roman" w:hAnsi="Open Sans" w:cs="Open Sans"/>
          <w:sz w:val="18"/>
          <w:szCs w:val="18"/>
          <w:lang w:eastAsia="ar-SA"/>
        </w:rPr>
        <w:t>.</w:t>
      </w:r>
    </w:p>
    <w:p w14:paraId="7CC853BC" w14:textId="77777777" w:rsidR="00704B68" w:rsidRPr="00196438" w:rsidRDefault="00704B68" w:rsidP="008C3E35">
      <w:pPr>
        <w:tabs>
          <w:tab w:val="left" w:pos="708"/>
          <w:tab w:val="left" w:pos="6674"/>
        </w:tabs>
        <w:suppressAutoHyphens/>
        <w:spacing w:after="0"/>
        <w:jc w:val="both"/>
        <w:rPr>
          <w:rFonts w:ascii="Open Sans" w:eastAsia="Times New Roman" w:hAnsi="Open Sans" w:cs="Open Sans"/>
          <w:b/>
          <w:sz w:val="18"/>
          <w:szCs w:val="18"/>
          <w:u w:val="single"/>
          <w:lang w:eastAsia="ar-SA"/>
        </w:rPr>
      </w:pPr>
    </w:p>
    <w:p w14:paraId="7CC853BD" w14:textId="77777777" w:rsidR="004E1DCF" w:rsidRPr="00196438" w:rsidRDefault="00704B68" w:rsidP="008C3E35">
      <w:pPr>
        <w:tabs>
          <w:tab w:val="left" w:pos="708"/>
          <w:tab w:val="left" w:pos="6674"/>
        </w:tabs>
        <w:suppressAutoHyphens/>
        <w:spacing w:after="0"/>
        <w:jc w:val="both"/>
        <w:rPr>
          <w:rFonts w:ascii="Open Sans" w:eastAsia="Times New Roman" w:hAnsi="Open Sans" w:cs="Open Sans"/>
          <w:b/>
          <w:sz w:val="18"/>
          <w:szCs w:val="18"/>
          <w:u w:val="single"/>
          <w:lang w:eastAsia="ar-SA"/>
        </w:rPr>
      </w:pPr>
      <w:r w:rsidRPr="00196438">
        <w:rPr>
          <w:rFonts w:ascii="Open Sans" w:eastAsia="Times New Roman" w:hAnsi="Open Sans" w:cs="Open Sans"/>
          <w:b/>
          <w:sz w:val="18"/>
          <w:szCs w:val="18"/>
          <w:u w:val="single"/>
          <w:lang w:eastAsia="ar-SA"/>
        </w:rPr>
        <w:t xml:space="preserve">4.2.2 </w:t>
      </w:r>
      <w:r w:rsidR="004E1DCF" w:rsidRPr="00196438">
        <w:rPr>
          <w:rFonts w:ascii="Open Sans" w:eastAsia="Times New Roman" w:hAnsi="Open Sans" w:cs="Open Sans"/>
          <w:b/>
          <w:sz w:val="18"/>
          <w:szCs w:val="18"/>
          <w:u w:val="single"/>
          <w:lang w:eastAsia="ar-SA"/>
        </w:rPr>
        <w:t>Znaky nepriameho účinku</w:t>
      </w:r>
      <w:r w:rsidRPr="00196438">
        <w:rPr>
          <w:rFonts w:ascii="Open Sans" w:eastAsia="Times New Roman" w:hAnsi="Open Sans" w:cs="Open Sans"/>
          <w:b/>
          <w:sz w:val="18"/>
          <w:szCs w:val="18"/>
          <w:u w:val="single"/>
          <w:lang w:eastAsia="ar-SA"/>
        </w:rPr>
        <w:t xml:space="preserve"> smerníc</w:t>
      </w:r>
    </w:p>
    <w:p w14:paraId="7CC853BE" w14:textId="77777777" w:rsidR="00704B68" w:rsidRPr="00196438" w:rsidRDefault="00704B68"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BF" w14:textId="77777777" w:rsidR="008C3E35" w:rsidRPr="00196438" w:rsidRDefault="00704B68" w:rsidP="008C3E35">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Pre úplnosť si k problematike nepriameho účinku smerníc dovoľujem uviesť </w:t>
      </w:r>
      <w:r w:rsidR="008A5AFF" w:rsidRPr="00196438">
        <w:rPr>
          <w:rFonts w:ascii="Open Sans" w:eastAsia="Times New Roman" w:hAnsi="Open Sans" w:cs="Open Sans"/>
          <w:sz w:val="18"/>
          <w:szCs w:val="18"/>
          <w:lang w:eastAsia="ar-SA"/>
        </w:rPr>
        <w:t xml:space="preserve">znaky </w:t>
      </w:r>
      <w:r w:rsidR="00764AC9" w:rsidRPr="00196438">
        <w:rPr>
          <w:rFonts w:ascii="Open Sans" w:eastAsia="Times New Roman" w:hAnsi="Open Sans" w:cs="Open Sans"/>
          <w:sz w:val="18"/>
          <w:szCs w:val="18"/>
          <w:lang w:eastAsia="ar-SA"/>
        </w:rPr>
        <w:t>nepriameho</w:t>
      </w:r>
      <w:r w:rsidR="008A5AFF" w:rsidRPr="00196438">
        <w:rPr>
          <w:rFonts w:ascii="Open Sans" w:eastAsia="Times New Roman" w:hAnsi="Open Sans" w:cs="Open Sans"/>
          <w:sz w:val="18"/>
          <w:szCs w:val="18"/>
          <w:lang w:eastAsia="ar-SA"/>
        </w:rPr>
        <w:t xml:space="preserve"> účinku smerníc. </w:t>
      </w:r>
      <w:r w:rsidR="008C3E35" w:rsidRPr="00196438">
        <w:rPr>
          <w:rFonts w:ascii="Open Sans" w:eastAsia="Times New Roman" w:hAnsi="Open Sans" w:cs="Open Sans"/>
          <w:sz w:val="18"/>
          <w:szCs w:val="18"/>
          <w:lang w:eastAsia="ar-SA"/>
        </w:rPr>
        <w:t xml:space="preserve">Medzi konkrétne znaky nepriameho účinku smerníc patrí kto, čo a kedy je povinný vykladať vnútroštátne právo </w:t>
      </w:r>
      <w:proofErr w:type="spellStart"/>
      <w:r w:rsidR="008C3E35" w:rsidRPr="00196438">
        <w:rPr>
          <w:rFonts w:ascii="Open Sans" w:eastAsia="Times New Roman" w:hAnsi="Open Sans" w:cs="Open Sans"/>
          <w:sz w:val="18"/>
          <w:szCs w:val="18"/>
          <w:lang w:eastAsia="ar-SA"/>
        </w:rPr>
        <w:t>eurokonformne</w:t>
      </w:r>
      <w:proofErr w:type="spellEnd"/>
      <w:r w:rsidR="008C3E35" w:rsidRPr="00196438">
        <w:rPr>
          <w:rFonts w:ascii="Open Sans" w:eastAsia="Times New Roman" w:hAnsi="Open Sans" w:cs="Open Sans"/>
          <w:sz w:val="18"/>
          <w:szCs w:val="18"/>
          <w:vertAlign w:val="superscript"/>
          <w:lang w:eastAsia="ar-SA"/>
        </w:rPr>
        <w:footnoteReference w:id="23"/>
      </w:r>
      <w:r w:rsidR="008C3E35" w:rsidRPr="00196438">
        <w:rPr>
          <w:rFonts w:ascii="Open Sans" w:eastAsia="Times New Roman" w:hAnsi="Open Sans" w:cs="Open Sans"/>
          <w:sz w:val="18"/>
          <w:szCs w:val="18"/>
          <w:lang w:eastAsia="ar-SA"/>
        </w:rPr>
        <w:t>:</w:t>
      </w:r>
    </w:p>
    <w:p w14:paraId="7CC853C0"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C1" w14:textId="77777777" w:rsidR="008C3E35" w:rsidRPr="00196438" w:rsidRDefault="008C3E35" w:rsidP="008C3E35">
      <w:pPr>
        <w:numPr>
          <w:ilvl w:val="0"/>
          <w:numId w:val="4"/>
        </w:numPr>
        <w:tabs>
          <w:tab w:val="left" w:pos="708"/>
          <w:tab w:val="left" w:pos="6674"/>
        </w:tabs>
        <w:suppressAutoHyphens/>
        <w:spacing w:after="0" w:line="240" w:lineRule="auto"/>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subjekty súladného výkladu - kto je viazaný?:</w:t>
      </w:r>
    </w:p>
    <w:p w14:paraId="7CC853C2"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skratke, sú nimi nielen súdy, ale aj všetky ostatné vnútroštátne orgány.</w:t>
      </w:r>
      <w:r w:rsidRPr="00196438">
        <w:rPr>
          <w:rFonts w:ascii="Open Sans" w:eastAsia="Times New Roman" w:hAnsi="Open Sans" w:cs="Open Sans"/>
          <w:sz w:val="18"/>
          <w:szCs w:val="18"/>
          <w:vertAlign w:val="superscript"/>
          <w:lang w:eastAsia="ar-SA"/>
        </w:rPr>
        <w:footnoteReference w:id="24"/>
      </w:r>
    </w:p>
    <w:p w14:paraId="7CC853C3"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C4" w14:textId="77777777" w:rsidR="008C3E35" w:rsidRPr="00196438" w:rsidRDefault="008C3E35" w:rsidP="008C3E35">
      <w:pPr>
        <w:numPr>
          <w:ilvl w:val="0"/>
          <w:numId w:val="4"/>
        </w:numPr>
        <w:tabs>
          <w:tab w:val="left" w:pos="708"/>
          <w:tab w:val="left" w:pos="6674"/>
        </w:tabs>
        <w:suppressAutoHyphens/>
        <w:spacing w:after="0" w:line="240" w:lineRule="auto"/>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predmet povinnosti súladného výkladu: čo je treba vykladať súladne?:</w:t>
      </w:r>
    </w:p>
    <w:p w14:paraId="7CC853C5"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skratke, celé vnútroštátne právo.</w:t>
      </w:r>
      <w:r w:rsidRPr="00196438">
        <w:rPr>
          <w:rFonts w:ascii="Open Sans" w:eastAsia="Times New Roman" w:hAnsi="Open Sans" w:cs="Open Sans"/>
          <w:sz w:val="18"/>
          <w:szCs w:val="18"/>
          <w:vertAlign w:val="superscript"/>
          <w:lang w:eastAsia="ar-SA"/>
        </w:rPr>
        <w:footnoteReference w:id="25"/>
      </w:r>
    </w:p>
    <w:p w14:paraId="7CC853C6"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C7" w14:textId="77777777" w:rsidR="008C3E35" w:rsidRPr="00196438" w:rsidRDefault="008C3E35" w:rsidP="008C3E35">
      <w:pPr>
        <w:numPr>
          <w:ilvl w:val="0"/>
          <w:numId w:val="4"/>
        </w:numPr>
        <w:tabs>
          <w:tab w:val="left" w:pos="708"/>
          <w:tab w:val="left" w:pos="6674"/>
        </w:tabs>
        <w:suppressAutoHyphens/>
        <w:spacing w:after="0" w:line="240" w:lineRule="auto"/>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"kedy" z hľadiska vecného: za akých okolností povinnosť súladného výkladu vzniká?:</w:t>
      </w:r>
    </w:p>
    <w:p w14:paraId="7CC853C8"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C9"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Povinnosť euro konformného výkladu vzniká typicky v dvoch situáciách: </w:t>
      </w:r>
    </w:p>
    <w:p w14:paraId="7CC853CA"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CB" w14:textId="77777777" w:rsidR="008C3E35" w:rsidRPr="00196438" w:rsidRDefault="008C3E35" w:rsidP="00D41108">
      <w:pPr>
        <w:numPr>
          <w:ilvl w:val="0"/>
          <w:numId w:val="5"/>
        </w:numPr>
        <w:tabs>
          <w:tab w:val="left" w:pos="708"/>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ak smernica nebola správne implementovaná, pričom vnútroštátny súd nemá problém s výkladom samotnej smernice, ale skôr musí skúmať, či vôbec je možné vnútroštátne právo vykladať v súlade so smernicou (jedná sa o </w:t>
      </w:r>
      <w:r w:rsidRPr="00196438">
        <w:rPr>
          <w:rFonts w:ascii="Open Sans" w:eastAsia="Times New Roman" w:hAnsi="Open Sans" w:cs="Open Sans"/>
          <w:sz w:val="18"/>
          <w:szCs w:val="18"/>
          <w:u w:val="single"/>
          <w:lang w:eastAsia="ar-SA"/>
        </w:rPr>
        <w:t>tzv. nápravný súladný výklad</w:t>
      </w:r>
      <w:r w:rsidR="00D41108" w:rsidRPr="00196438">
        <w:rPr>
          <w:rFonts w:ascii="Open Sans" w:eastAsia="Times New Roman" w:hAnsi="Open Sans" w:cs="Open Sans"/>
          <w:sz w:val="18"/>
          <w:szCs w:val="18"/>
          <w:lang w:eastAsia="ar-SA"/>
        </w:rPr>
        <w:t>) (pozn.</w:t>
      </w:r>
      <w:r w:rsidRPr="00196438">
        <w:rPr>
          <w:rFonts w:ascii="Open Sans" w:eastAsia="Times New Roman" w:hAnsi="Open Sans" w:cs="Open Sans"/>
          <w:sz w:val="18"/>
          <w:szCs w:val="18"/>
          <w:lang w:eastAsia="ar-SA"/>
        </w:rPr>
        <w:t xml:space="preserve">: v tomto prípade sa jedná o túto situáciu, pretože Smernica nebola správne implementovaná a </w:t>
      </w:r>
      <w:r w:rsidR="00D41108" w:rsidRPr="00196438">
        <w:rPr>
          <w:rFonts w:ascii="Open Sans" w:eastAsia="Times New Roman" w:hAnsi="Open Sans" w:cs="Open Sans"/>
          <w:sz w:val="18"/>
          <w:szCs w:val="18"/>
          <w:lang w:eastAsia="ar-SA"/>
        </w:rPr>
        <w:t>vnútroštátne súdy budú musieť</w:t>
      </w:r>
      <w:r w:rsidRPr="00196438">
        <w:rPr>
          <w:rFonts w:ascii="Open Sans" w:eastAsia="Times New Roman" w:hAnsi="Open Sans" w:cs="Open Sans"/>
          <w:sz w:val="18"/>
          <w:szCs w:val="18"/>
          <w:lang w:eastAsia="ar-SA"/>
        </w:rPr>
        <w:t xml:space="preserve"> skúmať, či vôbec je možné Zákon vykladať v súlade so Smernicou)</w:t>
      </w:r>
      <w:r w:rsidRPr="00196438">
        <w:rPr>
          <w:rFonts w:ascii="Open Sans" w:eastAsia="Times New Roman" w:hAnsi="Open Sans" w:cs="Open Sans"/>
          <w:sz w:val="18"/>
          <w:szCs w:val="18"/>
          <w:vertAlign w:val="superscript"/>
          <w:lang w:eastAsia="ar-SA"/>
        </w:rPr>
        <w:footnoteReference w:id="26"/>
      </w:r>
      <w:r w:rsidRPr="00196438">
        <w:rPr>
          <w:rFonts w:ascii="Open Sans" w:eastAsia="Times New Roman" w:hAnsi="Open Sans" w:cs="Open Sans"/>
          <w:sz w:val="18"/>
          <w:szCs w:val="18"/>
          <w:lang w:eastAsia="ar-SA"/>
        </w:rPr>
        <w:t xml:space="preserve">, a </w:t>
      </w:r>
    </w:p>
    <w:p w14:paraId="7CC853CC" w14:textId="77777777" w:rsidR="008C3E35" w:rsidRPr="00196438" w:rsidRDefault="008C3E35" w:rsidP="00D41108">
      <w:pPr>
        <w:tabs>
          <w:tab w:val="left" w:pos="708"/>
        </w:tabs>
        <w:suppressAutoHyphens/>
        <w:spacing w:after="0"/>
        <w:ind w:left="1440"/>
        <w:jc w:val="both"/>
        <w:rPr>
          <w:rFonts w:ascii="Open Sans" w:eastAsia="Times New Roman" w:hAnsi="Open Sans" w:cs="Open Sans"/>
          <w:sz w:val="18"/>
          <w:szCs w:val="18"/>
          <w:lang w:eastAsia="ar-SA"/>
        </w:rPr>
      </w:pPr>
    </w:p>
    <w:p w14:paraId="7CC853CD" w14:textId="77777777" w:rsidR="008C3E35" w:rsidRPr="00196438" w:rsidRDefault="008C3E35" w:rsidP="00D41108">
      <w:pPr>
        <w:numPr>
          <w:ilvl w:val="0"/>
          <w:numId w:val="5"/>
        </w:numPr>
        <w:tabs>
          <w:tab w:val="left" w:pos="708"/>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ak vnútroštátny predpis prebral znenie smernice doslovne, ale vnútroštátny súd si nie je istý, ktorý z mnohých možných výkladov smernice má zvoliť, pretože jazykové znenie smernice pripúšťa viacero výkladov jedného ustanovenia (jedná sa o </w:t>
      </w:r>
      <w:r w:rsidRPr="00196438">
        <w:rPr>
          <w:rFonts w:ascii="Open Sans" w:eastAsia="Times New Roman" w:hAnsi="Open Sans" w:cs="Open Sans"/>
          <w:sz w:val="18"/>
          <w:szCs w:val="18"/>
          <w:u w:val="single"/>
          <w:lang w:eastAsia="ar-SA"/>
        </w:rPr>
        <w:t>tzv. určujúci súladný výklad</w:t>
      </w:r>
      <w:r w:rsidR="00D41108" w:rsidRPr="00196438">
        <w:rPr>
          <w:rFonts w:ascii="Open Sans" w:eastAsia="Times New Roman" w:hAnsi="Open Sans" w:cs="Open Sans"/>
          <w:sz w:val="18"/>
          <w:szCs w:val="18"/>
          <w:lang w:eastAsia="ar-SA"/>
        </w:rPr>
        <w:t xml:space="preserve">), </w:t>
      </w:r>
      <w:r w:rsidRPr="00196438">
        <w:rPr>
          <w:rFonts w:ascii="Open Sans" w:eastAsia="Times New Roman" w:hAnsi="Open Sans" w:cs="Open Sans"/>
          <w:sz w:val="18"/>
          <w:szCs w:val="18"/>
          <w:lang w:eastAsia="ar-SA"/>
        </w:rPr>
        <w:t>v tomto druhom prípade poži</w:t>
      </w:r>
      <w:r w:rsidR="00D41108" w:rsidRPr="00196438">
        <w:rPr>
          <w:rFonts w:ascii="Open Sans" w:eastAsia="Times New Roman" w:hAnsi="Open Sans" w:cs="Open Sans"/>
          <w:sz w:val="18"/>
          <w:szCs w:val="18"/>
          <w:lang w:eastAsia="ar-SA"/>
        </w:rPr>
        <w:t>ada vnútroštátny súd Súdny dvor EÚ o výklad s</w:t>
      </w:r>
      <w:r w:rsidRPr="00196438">
        <w:rPr>
          <w:rFonts w:ascii="Open Sans" w:eastAsia="Times New Roman" w:hAnsi="Open Sans" w:cs="Open Sans"/>
          <w:sz w:val="18"/>
          <w:szCs w:val="18"/>
          <w:lang w:eastAsia="ar-SA"/>
        </w:rPr>
        <w:t xml:space="preserve">mernice a vnútroštátny súd následne vykladá vnútroštátny predpis v súlade s výkladom </w:t>
      </w:r>
      <w:r w:rsidR="00D41108" w:rsidRPr="00196438">
        <w:rPr>
          <w:rFonts w:ascii="Open Sans" w:eastAsia="Times New Roman" w:hAnsi="Open Sans" w:cs="Open Sans"/>
          <w:sz w:val="18"/>
          <w:szCs w:val="18"/>
          <w:lang w:eastAsia="ar-SA"/>
        </w:rPr>
        <w:t>Súdneho dvora EÚ</w:t>
      </w:r>
      <w:r w:rsidRPr="00196438">
        <w:rPr>
          <w:rFonts w:ascii="Open Sans" w:eastAsia="Times New Roman" w:hAnsi="Open Sans" w:cs="Open Sans"/>
          <w:sz w:val="18"/>
          <w:szCs w:val="18"/>
          <w:lang w:eastAsia="ar-SA"/>
        </w:rPr>
        <w:t xml:space="preserve">. </w:t>
      </w:r>
      <w:r w:rsidR="00D41108" w:rsidRPr="00196438">
        <w:rPr>
          <w:rFonts w:ascii="Open Sans" w:eastAsia="Times New Roman" w:hAnsi="Open Sans" w:cs="Open Sans"/>
          <w:sz w:val="18"/>
          <w:szCs w:val="18"/>
          <w:lang w:eastAsia="ar-SA"/>
        </w:rPr>
        <w:t>"</w:t>
      </w:r>
      <w:r w:rsidRPr="00196438">
        <w:rPr>
          <w:rFonts w:ascii="Open Sans" w:eastAsia="Times New Roman" w:hAnsi="Open Sans" w:cs="Open Sans"/>
          <w:i/>
          <w:sz w:val="18"/>
          <w:szCs w:val="18"/>
          <w:lang w:eastAsia="ar-SA"/>
        </w:rPr>
        <w:t>Rozdiel oproti nápravnému výkladu je ten, že vnútroštátnu legislatívu je možné bez problémov vyložiť so smernicou v súlade. Vnútroštátny súd si však chce overiť, či v skutočnosti zvolil výklad správny. Naproti tomu pri nápravnom výklade nie je vnútroštátne právo samo o sebe so smernicou v súlade a vnútroštátny súd tak primárne skúma či je možné tento evidentný rozpor prekonať výkladom</w:t>
      </w:r>
      <w:r w:rsidR="00305878" w:rsidRPr="00196438">
        <w:rPr>
          <w:rFonts w:ascii="Open Sans" w:eastAsia="Times New Roman" w:hAnsi="Open Sans" w:cs="Open Sans"/>
          <w:i/>
          <w:sz w:val="18"/>
          <w:szCs w:val="18"/>
          <w:lang w:eastAsia="ar-SA"/>
        </w:rPr>
        <w:t>"</w:t>
      </w:r>
      <w:r w:rsidRPr="00196438">
        <w:rPr>
          <w:rFonts w:ascii="Open Sans" w:eastAsia="Times New Roman" w:hAnsi="Open Sans" w:cs="Open Sans"/>
          <w:sz w:val="18"/>
          <w:szCs w:val="18"/>
          <w:vertAlign w:val="superscript"/>
          <w:lang w:eastAsia="ar-SA"/>
        </w:rPr>
        <w:footnoteReference w:id="27"/>
      </w:r>
      <w:r w:rsidR="00305878" w:rsidRPr="00196438">
        <w:rPr>
          <w:rFonts w:ascii="Open Sans" w:eastAsia="Times New Roman" w:hAnsi="Open Sans" w:cs="Open Sans"/>
          <w:sz w:val="18"/>
          <w:szCs w:val="18"/>
          <w:lang w:eastAsia="ar-SA"/>
        </w:rPr>
        <w:t xml:space="preserve"> (poznámka autora: v prípade vnútroštátneho sporu spoločnosti Home Credit Slovakia, </w:t>
      </w:r>
      <w:proofErr w:type="spellStart"/>
      <w:r w:rsidR="00305878" w:rsidRPr="00196438">
        <w:rPr>
          <w:rFonts w:ascii="Open Sans" w:eastAsia="Times New Roman" w:hAnsi="Open Sans" w:cs="Open Sans"/>
          <w:sz w:val="18"/>
          <w:szCs w:val="18"/>
          <w:lang w:eastAsia="ar-SA"/>
        </w:rPr>
        <w:t>a.s</w:t>
      </w:r>
      <w:proofErr w:type="spellEnd"/>
      <w:r w:rsidR="00305878" w:rsidRPr="00196438">
        <w:rPr>
          <w:rFonts w:ascii="Open Sans" w:eastAsia="Times New Roman" w:hAnsi="Open Sans" w:cs="Open Sans"/>
          <w:sz w:val="18"/>
          <w:szCs w:val="18"/>
          <w:lang w:eastAsia="ar-SA"/>
        </w:rPr>
        <w:t xml:space="preserve">. proti Kláre </w:t>
      </w:r>
      <w:proofErr w:type="spellStart"/>
      <w:r w:rsidR="00305878" w:rsidRPr="00196438">
        <w:rPr>
          <w:rFonts w:ascii="Open Sans" w:eastAsia="Times New Roman" w:hAnsi="Open Sans" w:cs="Open Sans"/>
          <w:sz w:val="18"/>
          <w:szCs w:val="18"/>
          <w:lang w:eastAsia="ar-SA"/>
        </w:rPr>
        <w:t>Bíróovej</w:t>
      </w:r>
      <w:proofErr w:type="spellEnd"/>
      <w:r w:rsidR="00305878" w:rsidRPr="00196438">
        <w:rPr>
          <w:rFonts w:ascii="Open Sans" w:eastAsia="Times New Roman" w:hAnsi="Open Sans" w:cs="Open Sans"/>
          <w:sz w:val="18"/>
          <w:szCs w:val="18"/>
          <w:lang w:eastAsia="ar-SA"/>
        </w:rPr>
        <w:t>, a teda ani v obdobných sporoch veriteľov a spotrebiteľov, sa nejedná o určujúci súladný výklad, pretože Zákon neprebral znenie Smernice doslovne, ale podstatným spôsobom sa odchýlil od jej znenia, a navyše výklad Smernice nie je sporný).</w:t>
      </w:r>
    </w:p>
    <w:p w14:paraId="7CC853CE"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CF" w14:textId="77777777" w:rsidR="008C3E35" w:rsidRPr="00196438" w:rsidRDefault="0094028D"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tomto konkrétnom prípade</w:t>
      </w:r>
      <w:r w:rsidR="008A5AFF" w:rsidRPr="00196438">
        <w:rPr>
          <w:rFonts w:ascii="Open Sans" w:eastAsia="Times New Roman" w:hAnsi="Open Sans" w:cs="Open Sans"/>
          <w:sz w:val="18"/>
          <w:szCs w:val="18"/>
          <w:lang w:eastAsia="ar-SA"/>
        </w:rPr>
        <w:t xml:space="preserve"> (spory veriteľ verzus spotrebiteľ vo veci </w:t>
      </w:r>
      <w:proofErr w:type="spellStart"/>
      <w:r w:rsidR="008A5AFF" w:rsidRPr="00196438">
        <w:rPr>
          <w:rFonts w:ascii="Open Sans" w:eastAsia="Times New Roman" w:hAnsi="Open Sans" w:cs="Open Sans"/>
          <w:sz w:val="18"/>
          <w:szCs w:val="18"/>
          <w:lang w:eastAsia="ar-SA"/>
        </w:rPr>
        <w:t>bezúročnosti</w:t>
      </w:r>
      <w:proofErr w:type="spellEnd"/>
      <w:r w:rsidR="008A5AFF" w:rsidRPr="00196438">
        <w:rPr>
          <w:rFonts w:ascii="Open Sans" w:eastAsia="Times New Roman" w:hAnsi="Open Sans" w:cs="Open Sans"/>
          <w:sz w:val="18"/>
          <w:szCs w:val="18"/>
          <w:lang w:eastAsia="ar-SA"/>
        </w:rPr>
        <w:t xml:space="preserve"> a </w:t>
      </w:r>
      <w:proofErr w:type="spellStart"/>
      <w:r w:rsidR="008A5AFF" w:rsidRPr="00196438">
        <w:rPr>
          <w:rFonts w:ascii="Open Sans" w:eastAsia="Times New Roman" w:hAnsi="Open Sans" w:cs="Open Sans"/>
          <w:sz w:val="18"/>
          <w:szCs w:val="18"/>
          <w:lang w:eastAsia="ar-SA"/>
        </w:rPr>
        <w:t>bezpoplatkovosti</w:t>
      </w:r>
      <w:proofErr w:type="spellEnd"/>
      <w:r w:rsidR="008A5AFF" w:rsidRPr="00196438">
        <w:rPr>
          <w:rFonts w:ascii="Open Sans" w:eastAsia="Times New Roman" w:hAnsi="Open Sans" w:cs="Open Sans"/>
          <w:sz w:val="18"/>
          <w:szCs w:val="18"/>
          <w:lang w:eastAsia="ar-SA"/>
        </w:rPr>
        <w:t xml:space="preserve"> spotrebiteľských úverov)</w:t>
      </w:r>
      <w:r w:rsidRPr="00196438">
        <w:rPr>
          <w:rFonts w:ascii="Open Sans" w:eastAsia="Times New Roman" w:hAnsi="Open Sans" w:cs="Open Sans"/>
          <w:sz w:val="18"/>
          <w:szCs w:val="18"/>
          <w:lang w:eastAsia="ar-SA"/>
        </w:rPr>
        <w:t xml:space="preserve"> vnútroštátne súdy môžu</w:t>
      </w:r>
      <w:r w:rsidR="008C3E35" w:rsidRPr="00196438">
        <w:rPr>
          <w:rFonts w:ascii="Open Sans" w:eastAsia="Times New Roman" w:hAnsi="Open Sans" w:cs="Open Sans"/>
          <w:sz w:val="18"/>
          <w:szCs w:val="18"/>
          <w:lang w:eastAsia="ar-SA"/>
        </w:rPr>
        <w:t xml:space="preserve"> skúmať len možnosť nápravného súladného výkladu, pretože text Zákona je odlišný od textu Smernice</w:t>
      </w:r>
      <w:r w:rsidRPr="00196438">
        <w:rPr>
          <w:rFonts w:ascii="Open Sans" w:eastAsia="Times New Roman" w:hAnsi="Open Sans" w:cs="Open Sans"/>
          <w:sz w:val="18"/>
          <w:szCs w:val="18"/>
          <w:lang w:eastAsia="ar-SA"/>
        </w:rPr>
        <w:t>, a výklad Smernice zo strany Súdneho dvora EÚ je odlišný od výslovného znenia Zákona</w:t>
      </w:r>
      <w:r w:rsidR="008C3E35" w:rsidRPr="00196438">
        <w:rPr>
          <w:rFonts w:ascii="Open Sans" w:eastAsia="Times New Roman" w:hAnsi="Open Sans" w:cs="Open Sans"/>
          <w:sz w:val="18"/>
          <w:szCs w:val="18"/>
          <w:lang w:eastAsia="ar-SA"/>
        </w:rPr>
        <w:t xml:space="preserve">. </w:t>
      </w:r>
    </w:p>
    <w:p w14:paraId="7CC853D0"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D1" w14:textId="77777777" w:rsidR="008C3E35" w:rsidRPr="00196438" w:rsidRDefault="008A5AFF"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Opäť, v</w:t>
      </w:r>
      <w:r w:rsidR="008C3E35" w:rsidRPr="00196438">
        <w:rPr>
          <w:rFonts w:ascii="Open Sans" w:eastAsia="Times New Roman" w:hAnsi="Open Sans" w:cs="Open Sans"/>
          <w:sz w:val="18"/>
          <w:szCs w:val="18"/>
          <w:lang w:eastAsia="ar-SA"/>
        </w:rPr>
        <w:t xml:space="preserve"> kontexte vyššie uvedeného bol postup Okresného súdu Dunajská Streda zbytočný, pretože Okresný súd Dunajská Streda pri otázke členenia splátok postupoval postupom typickým pre tzv. určujúci súladný výklad (</w:t>
      </w:r>
      <w:r w:rsidRPr="00196438">
        <w:rPr>
          <w:rFonts w:ascii="Open Sans" w:eastAsia="Times New Roman" w:hAnsi="Open Sans" w:cs="Open Sans"/>
          <w:sz w:val="18"/>
          <w:szCs w:val="18"/>
          <w:lang w:eastAsia="ar-SA"/>
        </w:rPr>
        <w:t>okrem toho, že</w:t>
      </w:r>
      <w:r w:rsidR="008C3E35" w:rsidRPr="00196438">
        <w:rPr>
          <w:rFonts w:ascii="Open Sans" w:eastAsia="Times New Roman" w:hAnsi="Open Sans" w:cs="Open Sans"/>
          <w:sz w:val="18"/>
          <w:szCs w:val="18"/>
          <w:lang w:eastAsia="ar-SA"/>
        </w:rPr>
        <w:t xml:space="preserve"> sa pýtal Súdneho dvora EÚ na výklad jednoznačného ustanovenia Smernice nepripúšťajúceho iný výklad), pričom mu odpoveď Súdneho dvora EÚ (nech už by bol</w:t>
      </w:r>
      <w:r w:rsidRPr="00196438">
        <w:rPr>
          <w:rFonts w:ascii="Open Sans" w:eastAsia="Times New Roman" w:hAnsi="Open Sans" w:cs="Open Sans"/>
          <w:sz w:val="18"/>
          <w:szCs w:val="18"/>
          <w:lang w:eastAsia="ar-SA"/>
        </w:rPr>
        <w:t>a</w:t>
      </w:r>
      <w:r w:rsidR="008C3E35" w:rsidRPr="00196438">
        <w:rPr>
          <w:rFonts w:ascii="Open Sans" w:eastAsia="Times New Roman" w:hAnsi="Open Sans" w:cs="Open Sans"/>
          <w:sz w:val="18"/>
          <w:szCs w:val="18"/>
          <w:lang w:eastAsia="ar-SA"/>
        </w:rPr>
        <w:t xml:space="preserve"> akákoľvek) žiadnym spôsobom nepomôže, pretože znenie Zákona je v konflikte so znením Smernice (jedná sa o tzv. nápravný výklad), a preto sa Okresný súd Dunajská Streda mal sústrediť na možnosti priznania priameho a/alebo nepriameho účinku Smernice</w:t>
      </w:r>
      <w:r w:rsidRPr="00196438">
        <w:rPr>
          <w:rFonts w:ascii="Open Sans" w:eastAsia="Times New Roman" w:hAnsi="Open Sans" w:cs="Open Sans"/>
          <w:sz w:val="18"/>
          <w:szCs w:val="18"/>
          <w:lang w:eastAsia="ar-SA"/>
        </w:rPr>
        <w:t xml:space="preserve">, </w:t>
      </w:r>
      <w:r w:rsidR="00764AC9" w:rsidRPr="00196438">
        <w:rPr>
          <w:rFonts w:ascii="Open Sans" w:eastAsia="Times New Roman" w:hAnsi="Open Sans" w:cs="Open Sans"/>
          <w:sz w:val="18"/>
          <w:szCs w:val="18"/>
          <w:lang w:eastAsia="ar-SA"/>
        </w:rPr>
        <w:t xml:space="preserve">nakoľko takýto </w:t>
      </w:r>
      <w:r w:rsidRPr="00196438">
        <w:rPr>
          <w:rFonts w:ascii="Open Sans" w:eastAsia="Times New Roman" w:hAnsi="Open Sans" w:cs="Open Sans"/>
          <w:sz w:val="18"/>
          <w:szCs w:val="18"/>
          <w:lang w:eastAsia="ar-SA"/>
        </w:rPr>
        <w:t xml:space="preserve">postup musí dodržať bez ohľadu na znenie Rozsudok C42/15, </w:t>
      </w:r>
      <w:r w:rsidR="00764AC9" w:rsidRPr="00196438">
        <w:rPr>
          <w:rFonts w:ascii="Open Sans" w:eastAsia="Times New Roman" w:hAnsi="Open Sans" w:cs="Open Sans"/>
          <w:sz w:val="18"/>
          <w:szCs w:val="18"/>
          <w:lang w:eastAsia="ar-SA"/>
        </w:rPr>
        <w:t xml:space="preserve">ktorý </w:t>
      </w:r>
      <w:r w:rsidRPr="00196438">
        <w:rPr>
          <w:rFonts w:ascii="Open Sans" w:eastAsia="Times New Roman" w:hAnsi="Open Sans" w:cs="Open Sans"/>
          <w:sz w:val="18"/>
          <w:szCs w:val="18"/>
          <w:lang w:eastAsia="ar-SA"/>
        </w:rPr>
        <w:t>vyložil len znenie Smernice, ale nevyložil znenie Zákona (nakoľko to nie je v právomoci Súdneho dvora EÚ)</w:t>
      </w:r>
      <w:r w:rsidR="008C3E35" w:rsidRPr="00196438">
        <w:rPr>
          <w:rFonts w:ascii="Open Sans" w:eastAsia="Times New Roman" w:hAnsi="Open Sans" w:cs="Open Sans"/>
          <w:sz w:val="18"/>
          <w:szCs w:val="18"/>
          <w:lang w:eastAsia="ar-SA"/>
        </w:rPr>
        <w:t>.</w:t>
      </w:r>
    </w:p>
    <w:p w14:paraId="7CC853D2"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D3" w14:textId="77777777" w:rsidR="008C3E35" w:rsidRPr="00196438" w:rsidRDefault="008C3E35" w:rsidP="008C3E35">
      <w:pPr>
        <w:numPr>
          <w:ilvl w:val="0"/>
          <w:numId w:val="4"/>
        </w:numPr>
        <w:tabs>
          <w:tab w:val="left" w:pos="708"/>
          <w:tab w:val="left" w:pos="6674"/>
        </w:tabs>
        <w:suppressAutoHyphens/>
        <w:spacing w:after="0" w:line="240" w:lineRule="auto"/>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"kedy" z hľadiska časového: v ktorom okamihu povinnosť súladného výkladu vzniká?:</w:t>
      </w:r>
    </w:p>
    <w:p w14:paraId="7CC853D4"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D5"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skratke, odo dňa vstupu Smernice v platnosť, resp. odo dňa uplynutia lehoty na jej transpozíciu</w:t>
      </w:r>
      <w:r w:rsidRPr="00196438">
        <w:rPr>
          <w:rFonts w:ascii="Open Sans" w:eastAsia="Times New Roman" w:hAnsi="Open Sans" w:cs="Open Sans"/>
          <w:sz w:val="18"/>
          <w:szCs w:val="18"/>
          <w:vertAlign w:val="superscript"/>
          <w:lang w:eastAsia="ar-SA"/>
        </w:rPr>
        <w:footnoteReference w:id="28"/>
      </w:r>
      <w:r w:rsidRPr="00196438">
        <w:rPr>
          <w:rFonts w:ascii="Open Sans" w:eastAsia="Times New Roman" w:hAnsi="Open Sans" w:cs="Open Sans"/>
          <w:sz w:val="18"/>
          <w:szCs w:val="18"/>
          <w:lang w:eastAsia="ar-SA"/>
        </w:rPr>
        <w:t>. V tomto konkrétnom prípade to znamená, že prakticky od 11. júna 2008,</w:t>
      </w:r>
      <w:r w:rsidR="008A5AFF" w:rsidRPr="00196438">
        <w:rPr>
          <w:rFonts w:ascii="Open Sans" w:eastAsia="Times New Roman" w:hAnsi="Open Sans" w:cs="Open Sans"/>
          <w:sz w:val="18"/>
          <w:szCs w:val="18"/>
          <w:lang w:eastAsia="ar-SA"/>
        </w:rPr>
        <w:t xml:space="preserve"> kedy Smernica nadobudla </w:t>
      </w:r>
      <w:r w:rsidR="008A5AFF" w:rsidRPr="00196438">
        <w:rPr>
          <w:rFonts w:ascii="Open Sans" w:eastAsia="Times New Roman" w:hAnsi="Open Sans" w:cs="Open Sans"/>
          <w:sz w:val="18"/>
          <w:szCs w:val="18"/>
          <w:lang w:eastAsia="ar-SA"/>
        </w:rPr>
        <w:lastRenderedPageBreak/>
        <w:t>platnosť,</w:t>
      </w:r>
      <w:r w:rsidRPr="00196438">
        <w:rPr>
          <w:rFonts w:ascii="Open Sans" w:eastAsia="Times New Roman" w:hAnsi="Open Sans" w:cs="Open Sans"/>
          <w:sz w:val="18"/>
          <w:szCs w:val="18"/>
          <w:lang w:eastAsia="ar-SA"/>
        </w:rPr>
        <w:t xml:space="preserve"> museli vnútroštátne súdy ex offo, bez ohľadu na to, či sa účastníci súdnych konaní nepriameho účinku Smernice dovolávali alebo nie, vykladať Zákon v súlade so Smernicou. Vnútroštátne súdy v zmysle konštantnej judikatúry potvrdili výklad Zákona napriek jednoznačnému ustanoveniu Smernice tak, že sa vyžaduje členenie splátok na splátky istiny, úrokov a poplatkov.</w:t>
      </w:r>
      <w:r w:rsidR="008A5AFF" w:rsidRPr="00196438">
        <w:rPr>
          <w:rFonts w:ascii="Open Sans" w:eastAsia="Times New Roman" w:hAnsi="Open Sans" w:cs="Open Sans"/>
          <w:sz w:val="18"/>
          <w:szCs w:val="18"/>
          <w:lang w:eastAsia="ar-SA"/>
        </w:rPr>
        <w:t xml:space="preserve"> V prípade, ak by po Rozsudku C-42/15 začali </w:t>
      </w:r>
      <w:r w:rsidR="00764AC9" w:rsidRPr="00196438">
        <w:rPr>
          <w:rFonts w:ascii="Open Sans" w:eastAsia="Times New Roman" w:hAnsi="Open Sans" w:cs="Open Sans"/>
          <w:sz w:val="18"/>
          <w:szCs w:val="18"/>
          <w:lang w:eastAsia="ar-SA"/>
        </w:rPr>
        <w:t>vnútroštátne</w:t>
      </w:r>
      <w:r w:rsidR="008A5AFF" w:rsidRPr="00196438">
        <w:rPr>
          <w:rFonts w:ascii="Open Sans" w:eastAsia="Times New Roman" w:hAnsi="Open Sans" w:cs="Open Sans"/>
          <w:sz w:val="18"/>
          <w:szCs w:val="18"/>
          <w:lang w:eastAsia="ar-SA"/>
        </w:rPr>
        <w:t xml:space="preserve"> súdy vykladať Zákon tak, že členenie splátok sa nevyžaduje, i) potvrdili by, že v judikatúre spred Rozsudku C-42/15 postupovali v rozpore so Smernicou a veritelia by si mohli uplatňovať nárok na náhradu škody za nezákonné rozhodnutia, a ii) porušili by zásadu právnej istoty spočívajúcu v tom, že rovnakú vec by </w:t>
      </w:r>
      <w:r w:rsidR="004E1DCF" w:rsidRPr="00196438">
        <w:rPr>
          <w:rFonts w:ascii="Open Sans" w:eastAsia="Times New Roman" w:hAnsi="Open Sans" w:cs="Open Sans"/>
          <w:sz w:val="18"/>
          <w:szCs w:val="18"/>
          <w:lang w:eastAsia="ar-SA"/>
        </w:rPr>
        <w:t>rozhodovali inak.</w:t>
      </w:r>
    </w:p>
    <w:p w14:paraId="7CC853D6" w14:textId="77777777" w:rsidR="008C3E35" w:rsidRPr="00196438" w:rsidRDefault="008C3E35"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D7" w14:textId="77777777" w:rsidR="008C3E35" w:rsidRPr="00196438" w:rsidRDefault="0094028D"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w:t>
      </w:r>
      <w:r w:rsidR="008C3E35" w:rsidRPr="00196438">
        <w:rPr>
          <w:rFonts w:ascii="Open Sans" w:eastAsia="Times New Roman" w:hAnsi="Open Sans" w:cs="Open Sans"/>
          <w:sz w:val="18"/>
          <w:szCs w:val="18"/>
          <w:lang w:eastAsia="ar-SA"/>
        </w:rPr>
        <w:t xml:space="preserve"> tomto kontexte akcentujem rozsudok Krajského súdu v Prešove zo dňa 31. 03. 2016, </w:t>
      </w:r>
      <w:proofErr w:type="spellStart"/>
      <w:r w:rsidR="008C3E35" w:rsidRPr="00196438">
        <w:rPr>
          <w:rFonts w:ascii="Open Sans" w:eastAsia="Times New Roman" w:hAnsi="Open Sans" w:cs="Open Sans"/>
          <w:sz w:val="18"/>
          <w:szCs w:val="18"/>
          <w:lang w:eastAsia="ar-SA"/>
        </w:rPr>
        <w:t>sp</w:t>
      </w:r>
      <w:proofErr w:type="spellEnd"/>
      <w:r w:rsidR="008C3E35" w:rsidRPr="00196438">
        <w:rPr>
          <w:rFonts w:ascii="Open Sans" w:eastAsia="Times New Roman" w:hAnsi="Open Sans" w:cs="Open Sans"/>
          <w:sz w:val="18"/>
          <w:szCs w:val="18"/>
          <w:lang w:eastAsia="ar-SA"/>
        </w:rPr>
        <w:t xml:space="preserve">. zn. 20Co/50/2015, v ktorom sa </w:t>
      </w:r>
      <w:r w:rsidR="004E1DCF" w:rsidRPr="00196438">
        <w:rPr>
          <w:rFonts w:ascii="Open Sans" w:eastAsia="Times New Roman" w:hAnsi="Open Sans" w:cs="Open Sans"/>
          <w:sz w:val="18"/>
          <w:szCs w:val="18"/>
          <w:lang w:eastAsia="ar-SA"/>
        </w:rPr>
        <w:t xml:space="preserve">spoločnosť Home Credit Slovakia </w:t>
      </w:r>
      <w:r w:rsidR="008C3E35" w:rsidRPr="00196438">
        <w:rPr>
          <w:rFonts w:ascii="Open Sans" w:eastAsia="Times New Roman" w:hAnsi="Open Sans" w:cs="Open Sans"/>
          <w:sz w:val="18"/>
          <w:szCs w:val="18"/>
          <w:lang w:eastAsia="ar-SA"/>
        </w:rPr>
        <w:t xml:space="preserve">v odvolaní </w:t>
      </w:r>
      <w:r w:rsidR="004E1DCF" w:rsidRPr="00196438">
        <w:rPr>
          <w:rFonts w:ascii="Open Sans" w:eastAsia="Times New Roman" w:hAnsi="Open Sans" w:cs="Open Sans"/>
          <w:sz w:val="18"/>
          <w:szCs w:val="18"/>
          <w:lang w:eastAsia="ar-SA"/>
        </w:rPr>
        <w:t xml:space="preserve">voči pôvodnému rozsudku Okresného súdu Stará Ľubovňa, ktorým OS Stará Ľubovňa zamietol žalobu spoločnosti Home Credit Slovakia, </w:t>
      </w:r>
      <w:proofErr w:type="spellStart"/>
      <w:r w:rsidR="004E1DCF" w:rsidRPr="00196438">
        <w:rPr>
          <w:rFonts w:ascii="Open Sans" w:eastAsia="Times New Roman" w:hAnsi="Open Sans" w:cs="Open Sans"/>
          <w:sz w:val="18"/>
          <w:szCs w:val="18"/>
          <w:lang w:eastAsia="ar-SA"/>
        </w:rPr>
        <w:t>a.s</w:t>
      </w:r>
      <w:proofErr w:type="spellEnd"/>
      <w:r w:rsidR="004E1DCF" w:rsidRPr="00196438">
        <w:rPr>
          <w:rFonts w:ascii="Open Sans" w:eastAsia="Times New Roman" w:hAnsi="Open Sans" w:cs="Open Sans"/>
          <w:sz w:val="18"/>
          <w:szCs w:val="18"/>
          <w:lang w:eastAsia="ar-SA"/>
        </w:rPr>
        <w:t xml:space="preserve">. v časti úrokov a poplatkov z dôvodu </w:t>
      </w:r>
      <w:proofErr w:type="spellStart"/>
      <w:r w:rsidR="004E1DCF" w:rsidRPr="00196438">
        <w:rPr>
          <w:rFonts w:ascii="Open Sans" w:eastAsia="Times New Roman" w:hAnsi="Open Sans" w:cs="Open Sans"/>
          <w:sz w:val="18"/>
          <w:szCs w:val="18"/>
          <w:lang w:eastAsia="ar-SA"/>
        </w:rPr>
        <w:t>bezúročnosti</w:t>
      </w:r>
      <w:proofErr w:type="spellEnd"/>
      <w:r w:rsidR="004E1DCF" w:rsidRPr="00196438">
        <w:rPr>
          <w:rFonts w:ascii="Open Sans" w:eastAsia="Times New Roman" w:hAnsi="Open Sans" w:cs="Open Sans"/>
          <w:sz w:val="18"/>
          <w:szCs w:val="18"/>
          <w:lang w:eastAsia="ar-SA"/>
        </w:rPr>
        <w:t xml:space="preserve"> a </w:t>
      </w:r>
      <w:proofErr w:type="spellStart"/>
      <w:r w:rsidR="004E1DCF" w:rsidRPr="00196438">
        <w:rPr>
          <w:rFonts w:ascii="Open Sans" w:eastAsia="Times New Roman" w:hAnsi="Open Sans" w:cs="Open Sans"/>
          <w:sz w:val="18"/>
          <w:szCs w:val="18"/>
          <w:lang w:eastAsia="ar-SA"/>
        </w:rPr>
        <w:t>bezpoplatkovosti</w:t>
      </w:r>
      <w:proofErr w:type="spellEnd"/>
      <w:r w:rsidR="004E1DCF" w:rsidRPr="00196438">
        <w:rPr>
          <w:rFonts w:ascii="Open Sans" w:eastAsia="Times New Roman" w:hAnsi="Open Sans" w:cs="Open Sans"/>
          <w:sz w:val="18"/>
          <w:szCs w:val="18"/>
          <w:lang w:eastAsia="ar-SA"/>
        </w:rPr>
        <w:t xml:space="preserve"> úveru, </w:t>
      </w:r>
      <w:r w:rsidR="008C3E35" w:rsidRPr="00196438">
        <w:rPr>
          <w:rFonts w:ascii="Open Sans" w:eastAsia="Times New Roman" w:hAnsi="Open Sans" w:cs="Open Sans"/>
          <w:sz w:val="18"/>
          <w:szCs w:val="18"/>
          <w:lang w:eastAsia="ar-SA"/>
        </w:rPr>
        <w:t xml:space="preserve">dokonca doslovne domáhal nepriameho účinku Smernice vo vzťahu k predmetnému </w:t>
      </w:r>
      <w:proofErr w:type="spellStart"/>
      <w:r w:rsidR="008C3E35" w:rsidRPr="00196438">
        <w:rPr>
          <w:rFonts w:ascii="Open Sans" w:eastAsia="Times New Roman" w:hAnsi="Open Sans" w:cs="Open Sans"/>
          <w:sz w:val="18"/>
          <w:szCs w:val="18"/>
          <w:lang w:eastAsia="ar-SA"/>
        </w:rPr>
        <w:t>ust</w:t>
      </w:r>
      <w:proofErr w:type="spellEnd"/>
      <w:r w:rsidR="008C3E35" w:rsidRPr="00196438">
        <w:rPr>
          <w:rFonts w:ascii="Open Sans" w:eastAsia="Times New Roman" w:hAnsi="Open Sans" w:cs="Open Sans"/>
          <w:sz w:val="18"/>
          <w:szCs w:val="18"/>
          <w:lang w:eastAsia="ar-SA"/>
        </w:rPr>
        <w:t>. § 9 ods. 2 písm. k) Zákona (</w:t>
      </w:r>
      <w:r w:rsidRPr="00196438">
        <w:rPr>
          <w:rFonts w:ascii="Open Sans" w:eastAsia="Times New Roman" w:hAnsi="Open Sans" w:cs="Open Sans"/>
          <w:sz w:val="18"/>
          <w:szCs w:val="18"/>
          <w:lang w:eastAsia="ar-SA"/>
        </w:rPr>
        <w:t>členenie splátok na istiny, úroky a poplatky</w:t>
      </w:r>
      <w:r w:rsidR="008C3E35" w:rsidRPr="00196438">
        <w:rPr>
          <w:rFonts w:ascii="Open Sans" w:eastAsia="Times New Roman" w:hAnsi="Open Sans" w:cs="Open Sans"/>
          <w:sz w:val="18"/>
          <w:szCs w:val="18"/>
          <w:lang w:eastAsia="ar-SA"/>
        </w:rPr>
        <w:t>), pričom Krajský súd v Prešove zaujal k tejto argumentácii odmietavé rozhodnutie.</w:t>
      </w:r>
      <w:r w:rsidR="004E1DCF" w:rsidRPr="00196438">
        <w:rPr>
          <w:rFonts w:ascii="Open Sans" w:eastAsia="Times New Roman" w:hAnsi="Open Sans" w:cs="Open Sans"/>
          <w:sz w:val="18"/>
          <w:szCs w:val="18"/>
          <w:lang w:eastAsia="ar-SA"/>
        </w:rPr>
        <w:t xml:space="preserve"> Z odôvodnenia predmetného ustanovenia uvádzame "</w:t>
      </w:r>
      <w:r w:rsidR="004E1DCF" w:rsidRPr="00196438">
        <w:rPr>
          <w:rFonts w:ascii="Open Sans" w:hAnsi="Open Sans" w:cs="Open Sans"/>
          <w:sz w:val="18"/>
          <w:szCs w:val="18"/>
        </w:rPr>
        <w:t xml:space="preserve"> </w:t>
      </w:r>
      <w:r w:rsidR="004E1DCF" w:rsidRPr="00196438">
        <w:rPr>
          <w:rFonts w:ascii="Open Sans" w:eastAsia="Times New Roman" w:hAnsi="Open Sans" w:cs="Open Sans"/>
          <w:i/>
          <w:sz w:val="18"/>
          <w:szCs w:val="18"/>
          <w:lang w:eastAsia="ar-SA"/>
        </w:rPr>
        <w:t>spoločnosť</w:t>
      </w:r>
      <w:r w:rsidR="004E1DCF" w:rsidRPr="00196438">
        <w:rPr>
          <w:rFonts w:ascii="Open Sans" w:eastAsia="Times New Roman" w:hAnsi="Open Sans" w:cs="Open Sans"/>
          <w:sz w:val="18"/>
          <w:szCs w:val="18"/>
          <w:lang w:eastAsia="ar-SA"/>
        </w:rPr>
        <w:t xml:space="preserve"> [Home Credit Slovakia, </w:t>
      </w:r>
      <w:proofErr w:type="spellStart"/>
      <w:r w:rsidR="004E1DCF" w:rsidRPr="00196438">
        <w:rPr>
          <w:rFonts w:ascii="Open Sans" w:eastAsia="Times New Roman" w:hAnsi="Open Sans" w:cs="Open Sans"/>
          <w:sz w:val="18"/>
          <w:szCs w:val="18"/>
          <w:lang w:eastAsia="ar-SA"/>
        </w:rPr>
        <w:t>a.s</w:t>
      </w:r>
      <w:proofErr w:type="spellEnd"/>
      <w:r w:rsidR="004E1DCF" w:rsidRPr="00196438">
        <w:rPr>
          <w:rFonts w:ascii="Open Sans" w:eastAsia="Times New Roman" w:hAnsi="Open Sans" w:cs="Open Sans"/>
          <w:sz w:val="18"/>
          <w:szCs w:val="18"/>
          <w:lang w:eastAsia="ar-SA"/>
        </w:rPr>
        <w:t xml:space="preserve">.] </w:t>
      </w:r>
      <w:r w:rsidR="004E1DCF" w:rsidRPr="00196438">
        <w:rPr>
          <w:rFonts w:ascii="Open Sans" w:eastAsia="Times New Roman" w:hAnsi="Open Sans" w:cs="Open Sans"/>
          <w:i/>
          <w:sz w:val="18"/>
          <w:szCs w:val="18"/>
          <w:lang w:eastAsia="ar-SA"/>
        </w:rPr>
        <w:t xml:space="preserve">zastáva právny názor, že tvrdenie súdu prvého stupňa, že zmluva neobsahuje náležitosti vyžadované v zmysle § 9 ods. 2 písm. k) zákona č. 129/2010 Z. z. o spotrebiteľských úveroch v znení účinnom v čase uzavretia zmluvy, t.j. údaj o výške, počte a termíne splátok istiny, úrokov a iných poplatkov, vychádza z nesprávneho právneho posúdenia veci. Zo zásady </w:t>
      </w:r>
      <w:proofErr w:type="spellStart"/>
      <w:r w:rsidR="004E1DCF" w:rsidRPr="00196438">
        <w:rPr>
          <w:rFonts w:ascii="Open Sans" w:eastAsia="Times New Roman" w:hAnsi="Open Sans" w:cs="Open Sans"/>
          <w:i/>
          <w:sz w:val="18"/>
          <w:szCs w:val="18"/>
          <w:lang w:eastAsia="ar-SA"/>
        </w:rPr>
        <w:t>iura</w:t>
      </w:r>
      <w:proofErr w:type="spellEnd"/>
      <w:r w:rsidR="004E1DCF" w:rsidRPr="00196438">
        <w:rPr>
          <w:rFonts w:ascii="Open Sans" w:eastAsia="Times New Roman" w:hAnsi="Open Sans" w:cs="Open Sans"/>
          <w:i/>
          <w:sz w:val="18"/>
          <w:szCs w:val="18"/>
          <w:lang w:eastAsia="ar-SA"/>
        </w:rPr>
        <w:t xml:space="preserve"> </w:t>
      </w:r>
      <w:proofErr w:type="spellStart"/>
      <w:r w:rsidR="004E1DCF" w:rsidRPr="00196438">
        <w:rPr>
          <w:rFonts w:ascii="Open Sans" w:eastAsia="Times New Roman" w:hAnsi="Open Sans" w:cs="Open Sans"/>
          <w:i/>
          <w:sz w:val="18"/>
          <w:szCs w:val="18"/>
          <w:lang w:eastAsia="ar-SA"/>
        </w:rPr>
        <w:t>novit</w:t>
      </w:r>
      <w:proofErr w:type="spellEnd"/>
      <w:r w:rsidR="004E1DCF" w:rsidRPr="00196438">
        <w:rPr>
          <w:rFonts w:ascii="Open Sans" w:eastAsia="Times New Roman" w:hAnsi="Open Sans" w:cs="Open Sans"/>
          <w:i/>
          <w:sz w:val="18"/>
          <w:szCs w:val="18"/>
          <w:lang w:eastAsia="ar-SA"/>
        </w:rPr>
        <w:t xml:space="preserve"> curia („súd pozná právo“) možno vyvodiť, že súd sa aj bez návrhu účastníka </w:t>
      </w:r>
      <w:r w:rsidR="004E1DCF" w:rsidRPr="00196438">
        <w:rPr>
          <w:rFonts w:ascii="Open Sans" w:eastAsia="Times New Roman" w:hAnsi="Open Sans" w:cs="Open Sans"/>
          <w:i/>
          <w:sz w:val="18"/>
          <w:szCs w:val="18"/>
          <w:lang w:eastAsia="ar-SA"/>
        </w:rPr>
        <w:tab/>
        <w:t xml:space="preserve">konania musí vyrovnať so všetkými relevantnými právnymi normami aplikovateľnými na konkrétny prípad, v tomto prípade súd prvého stupňa pochybil pri zohľadňovaní právnych noriem relevantných pre prípad, a to konkrétne ustanovenie Smernice Európskeho parlamentu a Rady 2008/48/ES o zmluvách a spotrebiteľskom úvere Článok 10 ods. 2 písm. h) - Informácie, ktoré má obsahovať zmluva o úvere: Zmluva o úvere zrozumiteľne a stručne uvádza výšku, počet a frekvenciu splátok spotrebiteľa. Nezohľadnenie a nevyrovnanie sa s relevantnou právnou normou aplikovateľnou na konkrétny prípad Ústavný súd SR nazýva nielen zjavnou neodôvodnenosťou súdneho rozhodnutia, ale aj „arbitrárnosťou“ (svojvoľnosťou) súdneho rozhodnutia. S ohľadom na vyššie uvedené Žalobca zastáva názor, že súd prvého stupňa svoje rozhodnutie odvodzuje od formalistického znenia strohých zákonných noriem bez </w:t>
      </w:r>
      <w:proofErr w:type="spellStart"/>
      <w:r w:rsidR="004E1DCF" w:rsidRPr="00196438">
        <w:rPr>
          <w:rFonts w:ascii="Open Sans" w:eastAsia="Times New Roman" w:hAnsi="Open Sans" w:cs="Open Sans"/>
          <w:i/>
          <w:sz w:val="18"/>
          <w:szCs w:val="18"/>
          <w:lang w:eastAsia="ar-SA"/>
        </w:rPr>
        <w:t>eurokonformného</w:t>
      </w:r>
      <w:proofErr w:type="spellEnd"/>
      <w:r w:rsidR="004E1DCF" w:rsidRPr="00196438">
        <w:rPr>
          <w:rFonts w:ascii="Open Sans" w:eastAsia="Times New Roman" w:hAnsi="Open Sans" w:cs="Open Sans"/>
          <w:i/>
          <w:sz w:val="18"/>
          <w:szCs w:val="18"/>
          <w:lang w:eastAsia="ar-SA"/>
        </w:rPr>
        <w:t xml:space="preserve"> výkladu práva a v rozpore s Rozsudkom Súdneho dvora z 28. 1. 2010 vo veci </w:t>
      </w:r>
      <w:proofErr w:type="spellStart"/>
      <w:r w:rsidR="004E1DCF" w:rsidRPr="00196438">
        <w:rPr>
          <w:rFonts w:ascii="Open Sans" w:eastAsia="Times New Roman" w:hAnsi="Open Sans" w:cs="Open Sans"/>
          <w:i/>
          <w:sz w:val="18"/>
          <w:szCs w:val="18"/>
          <w:lang w:eastAsia="ar-SA"/>
        </w:rPr>
        <w:t>Uniplex</w:t>
      </w:r>
      <w:proofErr w:type="spellEnd"/>
      <w:r w:rsidR="004E1DCF" w:rsidRPr="00196438">
        <w:rPr>
          <w:rFonts w:ascii="Open Sans" w:eastAsia="Times New Roman" w:hAnsi="Open Sans" w:cs="Open Sans"/>
          <w:i/>
          <w:sz w:val="18"/>
          <w:szCs w:val="18"/>
          <w:lang w:eastAsia="ar-SA"/>
        </w:rPr>
        <w:t xml:space="preserve"> (UK) </w:t>
      </w:r>
      <w:proofErr w:type="spellStart"/>
      <w:r w:rsidR="004E1DCF" w:rsidRPr="00196438">
        <w:rPr>
          <w:rFonts w:ascii="Open Sans" w:eastAsia="Times New Roman" w:hAnsi="Open Sans" w:cs="Open Sans"/>
          <w:i/>
          <w:sz w:val="18"/>
          <w:szCs w:val="18"/>
          <w:lang w:eastAsia="ar-SA"/>
        </w:rPr>
        <w:t>Ltd</w:t>
      </w:r>
      <w:proofErr w:type="spellEnd"/>
      <w:r w:rsidR="004E1DCF" w:rsidRPr="00196438">
        <w:rPr>
          <w:rFonts w:ascii="Open Sans" w:eastAsia="Times New Roman" w:hAnsi="Open Sans" w:cs="Open Sans"/>
          <w:i/>
          <w:sz w:val="18"/>
          <w:szCs w:val="18"/>
          <w:lang w:eastAsia="ar-SA"/>
        </w:rPr>
        <w:t xml:space="preserve">., C-406/08, bod 45.". </w:t>
      </w:r>
      <w:r w:rsidR="004E1DCF" w:rsidRPr="00196438">
        <w:rPr>
          <w:rFonts w:ascii="Open Sans" w:eastAsia="Times New Roman" w:hAnsi="Open Sans" w:cs="Open Sans"/>
          <w:sz w:val="18"/>
          <w:szCs w:val="18"/>
          <w:lang w:eastAsia="ar-SA"/>
        </w:rPr>
        <w:t xml:space="preserve">K tejto argumentácii a dovolaniu sa </w:t>
      </w:r>
      <w:proofErr w:type="spellStart"/>
      <w:r w:rsidR="004E1DCF" w:rsidRPr="00196438">
        <w:rPr>
          <w:rFonts w:ascii="Open Sans" w:eastAsia="Times New Roman" w:hAnsi="Open Sans" w:cs="Open Sans"/>
          <w:sz w:val="18"/>
          <w:szCs w:val="18"/>
          <w:lang w:eastAsia="ar-SA"/>
        </w:rPr>
        <w:t>eurokonformného</w:t>
      </w:r>
      <w:proofErr w:type="spellEnd"/>
      <w:r w:rsidR="004E1DCF" w:rsidRPr="00196438">
        <w:rPr>
          <w:rFonts w:ascii="Open Sans" w:eastAsia="Times New Roman" w:hAnsi="Open Sans" w:cs="Open Sans"/>
          <w:sz w:val="18"/>
          <w:szCs w:val="18"/>
          <w:lang w:eastAsia="ar-SA"/>
        </w:rPr>
        <w:t xml:space="preserve"> výkladu Zákona Krajský súd v Prešove zaujal odmietavé stanovisko, keď vyjadril, že</w:t>
      </w:r>
      <w:r w:rsidR="004E1DCF" w:rsidRPr="00196438">
        <w:rPr>
          <w:rFonts w:ascii="Open Sans" w:eastAsia="Times New Roman" w:hAnsi="Open Sans" w:cs="Open Sans"/>
          <w:i/>
          <w:sz w:val="18"/>
          <w:szCs w:val="18"/>
          <w:lang w:eastAsia="ar-SA"/>
        </w:rPr>
        <w:t xml:space="preserve"> "Odvolaciemu súdu rovnako ako súdu prvého stupňa neušlo pozornosti, že zmluva o úvere neobsahuje rozpísaný údaj o splátkach istiny, úrokoch, poplatkoch a taktiež v nej nie je uvedená konečná splatnosť úveru. Celkovo v nej je chaoticky a znepokojujúco uvedené množstvo údajov, v ktorých sa priemerný spotrebiteľ len ťažko zorientuje. Účelom právnej úpravy (§ 11 ods. 1 zákona č. 129/2010 Z. z. o spotrebiteľských úveroch (ďalej len „</w:t>
      </w:r>
      <w:proofErr w:type="spellStart"/>
      <w:r w:rsidR="004E1DCF" w:rsidRPr="00196438">
        <w:rPr>
          <w:rFonts w:ascii="Open Sans" w:eastAsia="Times New Roman" w:hAnsi="Open Sans" w:cs="Open Sans"/>
          <w:i/>
          <w:sz w:val="18"/>
          <w:szCs w:val="18"/>
          <w:lang w:eastAsia="ar-SA"/>
        </w:rPr>
        <w:t>ZoSÚ</w:t>
      </w:r>
      <w:proofErr w:type="spellEnd"/>
      <w:r w:rsidR="004E1DCF" w:rsidRPr="00196438">
        <w:rPr>
          <w:rFonts w:ascii="Open Sans" w:eastAsia="Times New Roman" w:hAnsi="Open Sans" w:cs="Open Sans"/>
          <w:i/>
          <w:sz w:val="18"/>
          <w:szCs w:val="18"/>
          <w:lang w:eastAsia="ar-SA"/>
        </w:rPr>
        <w:t>“) je bez akýchkoľvek pochybností aj poskytnutie ochrany spotrebiteľovi. Ten má totiž právo byť informovaný o výške úrokov z úveru a poplatkoch. Žalobca ako dodávateľ mal preto zákonnú povinnosť v zmluve o spotrebiteľskom úvere uviesť údaj o výške úrokov a poplatkov. A to priamo v zmluve so sankciou straty práva na úroky a poplatky v zmluve neuvedené</w:t>
      </w:r>
      <w:r w:rsidR="004E1DCF" w:rsidRPr="00196438">
        <w:rPr>
          <w:rFonts w:ascii="Open Sans" w:eastAsia="Times New Roman" w:hAnsi="Open Sans" w:cs="Open Sans"/>
          <w:sz w:val="18"/>
          <w:szCs w:val="18"/>
          <w:lang w:eastAsia="ar-SA"/>
        </w:rPr>
        <w:t>".</w:t>
      </w:r>
    </w:p>
    <w:p w14:paraId="7CC853D8" w14:textId="77777777" w:rsidR="004E1DCF" w:rsidRPr="00196438" w:rsidRDefault="004E1DCF"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p>
    <w:p w14:paraId="7CC853D9" w14:textId="77777777" w:rsidR="004E1DCF" w:rsidRPr="00196438" w:rsidRDefault="004E1DCF" w:rsidP="008C3E35">
      <w:pPr>
        <w:tabs>
          <w:tab w:val="left" w:pos="708"/>
          <w:tab w:val="left" w:pos="6674"/>
        </w:tabs>
        <w:suppressAutoHyphens/>
        <w:spacing w:after="0"/>
        <w:ind w:left="72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Ak by všeobecné súdy zrazu v obdobných veciach postupovali v r</w:t>
      </w:r>
      <w:r w:rsidR="000007B0" w:rsidRPr="00196438">
        <w:rPr>
          <w:rFonts w:ascii="Open Sans" w:eastAsia="Times New Roman" w:hAnsi="Open Sans" w:cs="Open Sans"/>
          <w:sz w:val="18"/>
          <w:szCs w:val="18"/>
          <w:lang w:eastAsia="ar-SA"/>
        </w:rPr>
        <w:t>ozpore s vyššie uvedeným rozsud</w:t>
      </w:r>
      <w:r w:rsidRPr="00196438">
        <w:rPr>
          <w:rFonts w:ascii="Open Sans" w:eastAsia="Times New Roman" w:hAnsi="Open Sans" w:cs="Open Sans"/>
          <w:sz w:val="18"/>
          <w:szCs w:val="18"/>
          <w:lang w:eastAsia="ar-SA"/>
        </w:rPr>
        <w:t>k</w:t>
      </w:r>
      <w:r w:rsidR="000007B0" w:rsidRPr="00196438">
        <w:rPr>
          <w:rFonts w:ascii="Open Sans" w:eastAsia="Times New Roman" w:hAnsi="Open Sans" w:cs="Open Sans"/>
          <w:sz w:val="18"/>
          <w:szCs w:val="18"/>
          <w:lang w:eastAsia="ar-SA"/>
        </w:rPr>
        <w:t>om</w:t>
      </w:r>
      <w:r w:rsidRPr="00196438">
        <w:rPr>
          <w:rFonts w:ascii="Open Sans" w:eastAsia="Times New Roman" w:hAnsi="Open Sans" w:cs="Open Sans"/>
          <w:sz w:val="18"/>
          <w:szCs w:val="18"/>
          <w:lang w:eastAsia="ar-SA"/>
        </w:rPr>
        <w:t>, výrazne by bola narušená zásada právnej istoty.</w:t>
      </w:r>
    </w:p>
    <w:p w14:paraId="7CC853DA" w14:textId="77777777" w:rsidR="008C3E35" w:rsidRPr="00196438" w:rsidRDefault="008C3E35" w:rsidP="008C3E35">
      <w:pPr>
        <w:tabs>
          <w:tab w:val="left" w:pos="708"/>
          <w:tab w:val="left" w:pos="6674"/>
        </w:tabs>
        <w:suppressAutoHyphens/>
        <w:spacing w:after="0"/>
        <w:jc w:val="center"/>
        <w:rPr>
          <w:rFonts w:ascii="Open Sans" w:eastAsia="Times New Roman" w:hAnsi="Open Sans" w:cs="Open Sans"/>
          <w:b/>
          <w:sz w:val="18"/>
          <w:szCs w:val="18"/>
          <w:lang w:eastAsia="ar-SA"/>
        </w:rPr>
      </w:pPr>
    </w:p>
    <w:p w14:paraId="7CC853DB" w14:textId="77777777" w:rsidR="008C3E35" w:rsidRPr="00196438" w:rsidRDefault="008C3E35" w:rsidP="00A477A0">
      <w:pPr>
        <w:pStyle w:val="Odsekzoznamu"/>
        <w:numPr>
          <w:ilvl w:val="0"/>
          <w:numId w:val="3"/>
        </w:numPr>
        <w:spacing w:after="0"/>
        <w:ind w:left="284" w:hanging="284"/>
        <w:jc w:val="both"/>
        <w:rPr>
          <w:rFonts w:ascii="Open Sans" w:eastAsia="Times New Roman" w:hAnsi="Open Sans" w:cs="Open Sans"/>
          <w:b/>
          <w:sz w:val="18"/>
          <w:szCs w:val="18"/>
          <w:lang w:eastAsia="ar-SA"/>
        </w:rPr>
      </w:pPr>
      <w:r w:rsidRPr="00196438">
        <w:rPr>
          <w:rFonts w:ascii="Open Sans" w:eastAsia="Times New Roman" w:hAnsi="Open Sans" w:cs="Open Sans"/>
          <w:b/>
          <w:sz w:val="18"/>
          <w:szCs w:val="18"/>
          <w:lang w:eastAsia="ar-SA"/>
        </w:rPr>
        <w:t>V krátkosti k členeniu splátok ako neprijateľnej spotrebiteľskej podmienke</w:t>
      </w:r>
    </w:p>
    <w:p w14:paraId="7CC853DC" w14:textId="77777777" w:rsidR="008C3E35" w:rsidRPr="00196438" w:rsidRDefault="008C3E35"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DD"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Obchodná podmienka používaná veriteľmi </w:t>
      </w:r>
      <w:r w:rsidR="000E5CAC" w:rsidRPr="00196438">
        <w:rPr>
          <w:rFonts w:ascii="Open Sans" w:eastAsia="Times New Roman" w:hAnsi="Open Sans" w:cs="Open Sans"/>
          <w:sz w:val="18"/>
          <w:szCs w:val="18"/>
          <w:lang w:eastAsia="ar-SA"/>
        </w:rPr>
        <w:t>v z</w:t>
      </w:r>
      <w:r w:rsidRPr="00196438">
        <w:rPr>
          <w:rFonts w:ascii="Open Sans" w:eastAsia="Times New Roman" w:hAnsi="Open Sans" w:cs="Open Sans"/>
          <w:sz w:val="18"/>
          <w:szCs w:val="18"/>
          <w:lang w:eastAsia="ar-SA"/>
        </w:rPr>
        <w:t xml:space="preserve">mluvách </w:t>
      </w:r>
      <w:r w:rsidR="000E5CAC" w:rsidRPr="00196438">
        <w:rPr>
          <w:rFonts w:ascii="Open Sans" w:eastAsia="Times New Roman" w:hAnsi="Open Sans" w:cs="Open Sans"/>
          <w:sz w:val="18"/>
          <w:szCs w:val="18"/>
          <w:lang w:eastAsia="ar-SA"/>
        </w:rPr>
        <w:t xml:space="preserve">o spotrebiteľských úveroch </w:t>
      </w:r>
      <w:r w:rsidRPr="00196438">
        <w:rPr>
          <w:rFonts w:ascii="Open Sans" w:eastAsia="Times New Roman" w:hAnsi="Open Sans" w:cs="Open Sans"/>
          <w:sz w:val="18"/>
          <w:szCs w:val="18"/>
          <w:lang w:eastAsia="ar-SA"/>
        </w:rPr>
        <w:t xml:space="preserve">spočívajúca v nečlenení splátok na splátky istiny, úrokov a iných poplatkov sa považuje </w:t>
      </w:r>
      <w:r w:rsidR="000E5CAC" w:rsidRPr="00196438">
        <w:rPr>
          <w:rFonts w:ascii="Open Sans" w:eastAsia="Times New Roman" w:hAnsi="Open Sans" w:cs="Open Sans"/>
          <w:sz w:val="18"/>
          <w:szCs w:val="18"/>
          <w:lang w:eastAsia="ar-SA"/>
        </w:rPr>
        <w:t>je potrebné hodnotiť tiež ako</w:t>
      </w:r>
      <w:r w:rsidRPr="00196438">
        <w:rPr>
          <w:rFonts w:ascii="Open Sans" w:eastAsia="Times New Roman" w:hAnsi="Open Sans" w:cs="Open Sans"/>
          <w:sz w:val="18"/>
          <w:szCs w:val="18"/>
          <w:lang w:eastAsia="ar-SA"/>
        </w:rPr>
        <w:t xml:space="preserve"> neprijateľnú </w:t>
      </w:r>
      <w:r w:rsidRPr="00196438">
        <w:rPr>
          <w:rFonts w:ascii="Open Sans" w:eastAsia="Times New Roman" w:hAnsi="Open Sans" w:cs="Open Sans"/>
          <w:sz w:val="18"/>
          <w:szCs w:val="18"/>
          <w:lang w:eastAsia="ar-SA"/>
        </w:rPr>
        <w:lastRenderedPageBreak/>
        <w:t xml:space="preserve">podmienku v zmysle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 53 zákona č. 40/1964 Zb. Občianskeho zákonníka v znení neskorších predpisov (ďalej len "</w:t>
      </w:r>
      <w:r w:rsidRPr="00196438">
        <w:rPr>
          <w:rFonts w:ascii="Open Sans" w:eastAsia="Times New Roman" w:hAnsi="Open Sans" w:cs="Open Sans"/>
          <w:b/>
          <w:sz w:val="18"/>
          <w:szCs w:val="18"/>
          <w:lang w:eastAsia="ar-SA"/>
        </w:rPr>
        <w:t>Občiansky zákonník</w:t>
      </w:r>
      <w:r w:rsidR="000007B0" w:rsidRPr="00196438">
        <w:rPr>
          <w:rFonts w:ascii="Open Sans" w:eastAsia="Times New Roman" w:hAnsi="Open Sans" w:cs="Open Sans"/>
          <w:sz w:val="18"/>
          <w:szCs w:val="18"/>
          <w:lang w:eastAsia="ar-SA"/>
        </w:rPr>
        <w:t>")</w:t>
      </w:r>
      <w:r w:rsidRPr="00196438">
        <w:rPr>
          <w:rFonts w:ascii="Open Sans" w:eastAsia="Times New Roman" w:hAnsi="Open Sans" w:cs="Open Sans"/>
          <w:sz w:val="18"/>
          <w:szCs w:val="18"/>
          <w:lang w:eastAsia="ar-SA"/>
        </w:rPr>
        <w:t>, a to z dôvodov uvedených nižšie.</w:t>
      </w:r>
    </w:p>
    <w:p w14:paraId="7CC853DE"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DF"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Zmluvy vo svojich ustanoveniach obsahujú určenie mesačnej splátky výlučne jej celkovou výškou bez toho, aby bolo určené, aká suma sa z tejto splátky započítava na splátku istiny, aká na splátky </w:t>
      </w:r>
      <w:r w:rsidR="000E5CAC" w:rsidRPr="00196438">
        <w:rPr>
          <w:rFonts w:ascii="Open Sans" w:eastAsia="Times New Roman" w:hAnsi="Open Sans" w:cs="Open Sans"/>
          <w:sz w:val="18"/>
          <w:szCs w:val="18"/>
          <w:lang w:eastAsia="ar-SA"/>
        </w:rPr>
        <w:t xml:space="preserve">úrokov </w:t>
      </w:r>
      <w:r w:rsidRPr="00196438">
        <w:rPr>
          <w:rFonts w:ascii="Open Sans" w:eastAsia="Times New Roman" w:hAnsi="Open Sans" w:cs="Open Sans"/>
          <w:sz w:val="18"/>
          <w:szCs w:val="18"/>
          <w:lang w:eastAsia="ar-SA"/>
        </w:rPr>
        <w:t xml:space="preserve">a aká na splátky poplatkov. Okrem skutočnosti, že takéto neuvedenie rozčlenenia splátok považuje ustálená judikatúra všeobecných súdov SR (ako sme už uviedli vyššie) za nenaplnenie Zákonnej požiadavky uvedenej v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 9 ods. 2 písm. k) Zákona a preto považuje úvery poskytnuté prostredníctvom takto formulovaných zmlúv za bezúročné a bez poplatkov, máme za to, že sa jedná o neprijateľnú podmienku v spotrebiteľských zmluvách.</w:t>
      </w:r>
    </w:p>
    <w:p w14:paraId="7CC853E0"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1"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V zmysle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 53 ods. 1 Občianskeho zákonníka "</w:t>
      </w:r>
      <w:r w:rsidRPr="00196438">
        <w:rPr>
          <w:rFonts w:ascii="Open Sans" w:eastAsia="Times New Roman" w:hAnsi="Open Sans" w:cs="Open Sans"/>
          <w:i/>
          <w:sz w:val="18"/>
          <w:szCs w:val="18"/>
          <w:lang w:eastAsia="ar-SA"/>
        </w:rPr>
        <w:t>spotrebiteľské zmluvy nesmú obsahovať ustanovenia, ktoré spôsobujú značnú nerovnováhu v právach a povinnostiach zmluvných strán v neprospech spotrebiteľa (ďalej len „neprijateľná podmienka“)</w:t>
      </w:r>
      <w:r w:rsidRPr="00196438">
        <w:rPr>
          <w:rFonts w:ascii="Open Sans" w:eastAsia="Times New Roman" w:hAnsi="Open Sans" w:cs="Open Sans"/>
          <w:sz w:val="18"/>
          <w:szCs w:val="18"/>
          <w:lang w:eastAsia="ar-SA"/>
        </w:rPr>
        <w:t>".</w:t>
      </w:r>
    </w:p>
    <w:p w14:paraId="7CC853E2"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3"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zmysle zmlúv, ktoré nečlenia splátky na splátky istiny, úrokov a iných poplatkov</w:t>
      </w:r>
      <w:r w:rsidR="000E5CAC" w:rsidRPr="00196438">
        <w:rPr>
          <w:rFonts w:ascii="Open Sans" w:eastAsia="Times New Roman" w:hAnsi="Open Sans" w:cs="Open Sans"/>
          <w:sz w:val="18"/>
          <w:szCs w:val="18"/>
          <w:lang w:eastAsia="ar-SA"/>
        </w:rPr>
        <w:t>,</w:t>
      </w:r>
      <w:r w:rsidRPr="00196438">
        <w:rPr>
          <w:rFonts w:ascii="Open Sans" w:eastAsia="Times New Roman" w:hAnsi="Open Sans" w:cs="Open Sans"/>
          <w:sz w:val="18"/>
          <w:szCs w:val="18"/>
          <w:lang w:eastAsia="ar-SA"/>
        </w:rPr>
        <w:t xml:space="preserve"> má spotrebiteľ plniť úver v jednotlivých splátkach, ale od samotného počiatku nevie, koľko má hradiť na istinu úveru</w:t>
      </w:r>
      <w:r w:rsidR="000E5CAC" w:rsidRPr="00196438">
        <w:rPr>
          <w:rFonts w:ascii="Open Sans" w:eastAsia="Times New Roman" w:hAnsi="Open Sans" w:cs="Open Sans"/>
          <w:sz w:val="18"/>
          <w:szCs w:val="18"/>
          <w:lang w:eastAsia="ar-SA"/>
        </w:rPr>
        <w:t xml:space="preserve"> a</w:t>
      </w:r>
      <w:r w:rsidRPr="00196438">
        <w:rPr>
          <w:rFonts w:ascii="Open Sans" w:eastAsia="Times New Roman" w:hAnsi="Open Sans" w:cs="Open Sans"/>
          <w:sz w:val="18"/>
          <w:szCs w:val="18"/>
          <w:lang w:eastAsia="ar-SA"/>
        </w:rPr>
        <w:t xml:space="preserve"> koľko má hradiť na </w:t>
      </w:r>
      <w:r w:rsidR="000E5CAC" w:rsidRPr="00196438">
        <w:rPr>
          <w:rFonts w:ascii="Open Sans" w:eastAsia="Times New Roman" w:hAnsi="Open Sans" w:cs="Open Sans"/>
          <w:sz w:val="18"/>
          <w:szCs w:val="18"/>
          <w:lang w:eastAsia="ar-SA"/>
        </w:rPr>
        <w:t xml:space="preserve">odplatu veriteľa - </w:t>
      </w:r>
      <w:r w:rsidRPr="00196438">
        <w:rPr>
          <w:rFonts w:ascii="Open Sans" w:eastAsia="Times New Roman" w:hAnsi="Open Sans" w:cs="Open Sans"/>
          <w:sz w:val="18"/>
          <w:szCs w:val="18"/>
          <w:lang w:eastAsia="ar-SA"/>
        </w:rPr>
        <w:t xml:space="preserve">úroky úveru a poplatky úveru. Veriteľ to od samého začiatku veľmi dobre vie a má o tom vedomosť, ale takúto informáciu spotrebiteľovi neposkytuje. </w:t>
      </w:r>
    </w:p>
    <w:p w14:paraId="7CC853E4"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5"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Je to teda veriteľ, kto svojvoľne a nekontrolovateľne priraďuje splátky spotrebiteľa a určuje, aká časť sa použije na splátky istiny a aká na splátky </w:t>
      </w:r>
      <w:r w:rsidR="000E5CAC" w:rsidRPr="00196438">
        <w:rPr>
          <w:rFonts w:ascii="Open Sans" w:eastAsia="Times New Roman" w:hAnsi="Open Sans" w:cs="Open Sans"/>
          <w:sz w:val="18"/>
          <w:szCs w:val="18"/>
          <w:lang w:eastAsia="ar-SA"/>
        </w:rPr>
        <w:t>odmeny veriteľa (</w:t>
      </w:r>
      <w:r w:rsidRPr="00196438">
        <w:rPr>
          <w:rFonts w:ascii="Open Sans" w:eastAsia="Times New Roman" w:hAnsi="Open Sans" w:cs="Open Sans"/>
          <w:sz w:val="18"/>
          <w:szCs w:val="18"/>
          <w:lang w:eastAsia="ar-SA"/>
        </w:rPr>
        <w:t>úrokov</w:t>
      </w:r>
      <w:r w:rsidR="000E5CAC" w:rsidRPr="00196438">
        <w:rPr>
          <w:rFonts w:ascii="Open Sans" w:eastAsia="Times New Roman" w:hAnsi="Open Sans" w:cs="Open Sans"/>
          <w:sz w:val="18"/>
          <w:szCs w:val="18"/>
          <w:lang w:eastAsia="ar-SA"/>
        </w:rPr>
        <w:t xml:space="preserve"> a poplatkov)</w:t>
      </w:r>
      <w:r w:rsidRPr="00196438">
        <w:rPr>
          <w:rFonts w:ascii="Open Sans" w:eastAsia="Times New Roman" w:hAnsi="Open Sans" w:cs="Open Sans"/>
          <w:sz w:val="18"/>
          <w:szCs w:val="18"/>
          <w:lang w:eastAsia="ar-SA"/>
        </w:rPr>
        <w:t xml:space="preserve">, pričom spotrebiteľ nemá žiadnu moc skontrolovať, podľa akého kľúča toto veriteľ robí. Ak by si spotrebiteľ proaktívne vyžiadal amortizačnú tabuľku, nič by to nemenilo na skutočnosti, že priradenie splátok spotrebiteľa </w:t>
      </w:r>
      <w:r w:rsidR="000E5CAC" w:rsidRPr="00196438">
        <w:rPr>
          <w:rFonts w:ascii="Open Sans" w:eastAsia="Times New Roman" w:hAnsi="Open Sans" w:cs="Open Sans"/>
          <w:sz w:val="18"/>
          <w:szCs w:val="18"/>
          <w:lang w:eastAsia="ar-SA"/>
        </w:rPr>
        <w:t xml:space="preserve">k istine a úrokom </w:t>
      </w:r>
      <w:r w:rsidRPr="00196438">
        <w:rPr>
          <w:rFonts w:ascii="Open Sans" w:eastAsia="Times New Roman" w:hAnsi="Open Sans" w:cs="Open Sans"/>
          <w:sz w:val="18"/>
          <w:szCs w:val="18"/>
          <w:lang w:eastAsia="ar-SA"/>
        </w:rPr>
        <w:t xml:space="preserve">zaplatených do momentu vyžiadania si amortizačnej tabuľky by bolo len a len v réžii veriteľa, a spotrebiteľ by nemal žiadnu moc ovplyvniť, ako veriteľ určil jednotlivé splátky do momentu vyžiadania si amortizačnej tabuľky. Pokiaľ by sa jednalo o splátky uvedené v prípadne vyžiadanej amortizačnej tabuľke - bol by to </w:t>
      </w:r>
      <w:r w:rsidR="000E5CAC" w:rsidRPr="00196438">
        <w:rPr>
          <w:rFonts w:ascii="Open Sans" w:eastAsia="Times New Roman" w:hAnsi="Open Sans" w:cs="Open Sans"/>
          <w:sz w:val="18"/>
          <w:szCs w:val="18"/>
          <w:lang w:eastAsia="ar-SA"/>
        </w:rPr>
        <w:t xml:space="preserve">opäť </w:t>
      </w:r>
      <w:r w:rsidRPr="00196438">
        <w:rPr>
          <w:rFonts w:ascii="Open Sans" w:eastAsia="Times New Roman" w:hAnsi="Open Sans" w:cs="Open Sans"/>
          <w:sz w:val="18"/>
          <w:szCs w:val="18"/>
          <w:lang w:eastAsia="ar-SA"/>
        </w:rPr>
        <w:t>len a len veriteľ, ktorý by jednostranne a svojvoľne určiť, ako v amortizačnej tabuľke uvedie, ako sa bude splácať istina úveru a ako sa bude splácať jeho odmena - úroky, bez dohody so spotrebiteľom.</w:t>
      </w:r>
    </w:p>
    <w:p w14:paraId="7CC853E6"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7" w14:textId="77777777" w:rsidR="00CD0354" w:rsidRPr="00196438" w:rsidRDefault="0012189A"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Mám</w:t>
      </w:r>
      <w:r w:rsidR="00CD0354" w:rsidRPr="00196438">
        <w:rPr>
          <w:rFonts w:ascii="Open Sans" w:eastAsia="Times New Roman" w:hAnsi="Open Sans" w:cs="Open Sans"/>
          <w:sz w:val="18"/>
          <w:szCs w:val="18"/>
          <w:lang w:eastAsia="ar-SA"/>
        </w:rPr>
        <w:t xml:space="preserve"> za to, že nakoľko veriteľ musí mať vedomosť o tom, ako chce priraďovať jednotlivé splátky k úrokom a ako k istine od počiatku, vo svojich zmluvách </w:t>
      </w:r>
      <w:r w:rsidR="000E5CAC" w:rsidRPr="00196438">
        <w:rPr>
          <w:rFonts w:ascii="Open Sans" w:eastAsia="Times New Roman" w:hAnsi="Open Sans" w:cs="Open Sans"/>
          <w:sz w:val="18"/>
          <w:szCs w:val="18"/>
          <w:lang w:eastAsia="ar-SA"/>
        </w:rPr>
        <w:t>musí</w:t>
      </w:r>
      <w:r w:rsidR="00CD0354" w:rsidRPr="00196438">
        <w:rPr>
          <w:rFonts w:ascii="Open Sans" w:eastAsia="Times New Roman" w:hAnsi="Open Sans" w:cs="Open Sans"/>
          <w:sz w:val="18"/>
          <w:szCs w:val="18"/>
          <w:lang w:eastAsia="ar-SA"/>
        </w:rPr>
        <w:t xml:space="preserve"> túto skutočnosť spotrebiteľom oznámiť, inak sa bude jednať o nekalú obchodnú praktiku v zmys</w:t>
      </w:r>
      <w:r w:rsidR="000E5CAC" w:rsidRPr="00196438">
        <w:rPr>
          <w:rFonts w:ascii="Open Sans" w:eastAsia="Times New Roman" w:hAnsi="Open Sans" w:cs="Open Sans"/>
          <w:sz w:val="18"/>
          <w:szCs w:val="18"/>
          <w:lang w:eastAsia="ar-SA"/>
        </w:rPr>
        <w:t xml:space="preserve">le už </w:t>
      </w:r>
      <w:proofErr w:type="spellStart"/>
      <w:r w:rsidR="000E5CAC" w:rsidRPr="00196438">
        <w:rPr>
          <w:rFonts w:ascii="Open Sans" w:eastAsia="Times New Roman" w:hAnsi="Open Sans" w:cs="Open Sans"/>
          <w:sz w:val="18"/>
          <w:szCs w:val="18"/>
          <w:lang w:eastAsia="ar-SA"/>
        </w:rPr>
        <w:t>ust</w:t>
      </w:r>
      <w:proofErr w:type="spellEnd"/>
      <w:r w:rsidR="000E5CAC" w:rsidRPr="00196438">
        <w:rPr>
          <w:rFonts w:ascii="Open Sans" w:eastAsia="Times New Roman" w:hAnsi="Open Sans" w:cs="Open Sans"/>
          <w:sz w:val="18"/>
          <w:szCs w:val="18"/>
          <w:lang w:eastAsia="ar-SA"/>
        </w:rPr>
        <w:t>. § 7 ods. 2 písm. b) z</w:t>
      </w:r>
      <w:r w:rsidR="00CD0354" w:rsidRPr="00196438">
        <w:rPr>
          <w:rFonts w:ascii="Open Sans" w:eastAsia="Times New Roman" w:hAnsi="Open Sans" w:cs="Open Sans"/>
          <w:sz w:val="18"/>
          <w:szCs w:val="18"/>
          <w:lang w:eastAsia="ar-SA"/>
        </w:rPr>
        <w:t xml:space="preserve">ákona </w:t>
      </w:r>
      <w:r w:rsidR="000E5CAC" w:rsidRPr="00196438">
        <w:rPr>
          <w:rFonts w:ascii="Open Sans" w:eastAsia="Times New Roman" w:hAnsi="Open Sans" w:cs="Open Sans"/>
          <w:sz w:val="18"/>
          <w:szCs w:val="18"/>
          <w:lang w:eastAsia="ar-SA"/>
        </w:rPr>
        <w:t>č. 250/2007 Z. z. o ochrane spotrebiteľa a o zmene zákona Slovenskej národnej rady č. 372/1990 Zb. o priestupkoch v znení neskorších predpisov (ďalej len "</w:t>
      </w:r>
      <w:r w:rsidR="000E5CAC" w:rsidRPr="00196438">
        <w:rPr>
          <w:rFonts w:ascii="Open Sans" w:eastAsia="Times New Roman" w:hAnsi="Open Sans" w:cs="Open Sans"/>
          <w:b/>
          <w:sz w:val="18"/>
          <w:szCs w:val="18"/>
          <w:lang w:eastAsia="ar-SA"/>
        </w:rPr>
        <w:t xml:space="preserve">Zákon </w:t>
      </w:r>
      <w:r w:rsidR="00CD0354" w:rsidRPr="00196438">
        <w:rPr>
          <w:rFonts w:ascii="Open Sans" w:eastAsia="Times New Roman" w:hAnsi="Open Sans" w:cs="Open Sans"/>
          <w:b/>
          <w:sz w:val="18"/>
          <w:szCs w:val="18"/>
          <w:lang w:eastAsia="ar-SA"/>
        </w:rPr>
        <w:t>o ochrane spotrebiteľa</w:t>
      </w:r>
      <w:r w:rsidR="000E5CAC" w:rsidRPr="00196438">
        <w:rPr>
          <w:rFonts w:ascii="Open Sans" w:eastAsia="Times New Roman" w:hAnsi="Open Sans" w:cs="Open Sans"/>
          <w:sz w:val="18"/>
          <w:szCs w:val="18"/>
          <w:lang w:eastAsia="ar-SA"/>
        </w:rPr>
        <w:t>")</w:t>
      </w:r>
      <w:r w:rsidR="00CD0354" w:rsidRPr="00196438">
        <w:rPr>
          <w:rFonts w:ascii="Open Sans" w:eastAsia="Times New Roman" w:hAnsi="Open Sans" w:cs="Open Sans"/>
          <w:sz w:val="18"/>
          <w:szCs w:val="18"/>
          <w:lang w:eastAsia="ar-SA"/>
        </w:rPr>
        <w:t>, v zmysle ktorého "</w:t>
      </w:r>
      <w:r w:rsidR="00CD0354" w:rsidRPr="00196438">
        <w:rPr>
          <w:rFonts w:ascii="Open Sans" w:eastAsia="Times New Roman" w:hAnsi="Open Sans" w:cs="Open Sans"/>
          <w:i/>
          <w:sz w:val="18"/>
          <w:szCs w:val="18"/>
          <w:lang w:eastAsia="ar-SA"/>
        </w:rPr>
        <w:t>obchodná praktika sa považuje za nekalú, ak podstatne narušuje alebo môže podstatne narušiť ekonomické správanie priemerného spotrebiteľa vo vzťahu k produktu, ku ktorému sa dostane alebo ktorému je adresovaná</w:t>
      </w:r>
      <w:r w:rsidR="00CD0354" w:rsidRPr="00196438">
        <w:rPr>
          <w:rFonts w:ascii="Open Sans" w:eastAsia="Times New Roman" w:hAnsi="Open Sans" w:cs="Open Sans"/>
          <w:sz w:val="18"/>
          <w:szCs w:val="18"/>
          <w:lang w:eastAsia="ar-SA"/>
        </w:rPr>
        <w:t xml:space="preserve">", v spojení s </w:t>
      </w:r>
      <w:proofErr w:type="spellStart"/>
      <w:r w:rsidR="00CD0354" w:rsidRPr="00196438">
        <w:rPr>
          <w:rFonts w:ascii="Open Sans" w:eastAsia="Times New Roman" w:hAnsi="Open Sans" w:cs="Open Sans"/>
          <w:sz w:val="18"/>
          <w:szCs w:val="18"/>
          <w:lang w:eastAsia="ar-SA"/>
        </w:rPr>
        <w:t>ust</w:t>
      </w:r>
      <w:proofErr w:type="spellEnd"/>
      <w:r w:rsidR="00CD0354" w:rsidRPr="00196438">
        <w:rPr>
          <w:rFonts w:ascii="Open Sans" w:eastAsia="Times New Roman" w:hAnsi="Open Sans" w:cs="Open Sans"/>
          <w:sz w:val="18"/>
          <w:szCs w:val="18"/>
          <w:lang w:eastAsia="ar-SA"/>
        </w:rPr>
        <w:t xml:space="preserve">. § 7 ods. 4 Zákona o ochrane spotrebiteľa a </w:t>
      </w:r>
      <w:proofErr w:type="spellStart"/>
      <w:r w:rsidR="00CD0354" w:rsidRPr="00196438">
        <w:rPr>
          <w:rFonts w:ascii="Open Sans" w:eastAsia="Times New Roman" w:hAnsi="Open Sans" w:cs="Open Sans"/>
          <w:sz w:val="18"/>
          <w:szCs w:val="18"/>
          <w:lang w:eastAsia="ar-SA"/>
        </w:rPr>
        <w:t>ust</w:t>
      </w:r>
      <w:proofErr w:type="spellEnd"/>
      <w:r w:rsidR="00CD0354" w:rsidRPr="00196438">
        <w:rPr>
          <w:rFonts w:ascii="Open Sans" w:eastAsia="Times New Roman" w:hAnsi="Open Sans" w:cs="Open Sans"/>
          <w:sz w:val="18"/>
          <w:szCs w:val="18"/>
          <w:lang w:eastAsia="ar-SA"/>
        </w:rPr>
        <w:t xml:space="preserve">. § 8 ods. 3 a 4 Zákona o ochrane spotrebiteľa, podľa ktorých za nekalú obchodnú praktiku sa považuje najmä klamlivé opomenutie konania, za ktoré sa tiež považuje, </w:t>
      </w:r>
      <w:r w:rsidR="000E5CAC" w:rsidRPr="00196438">
        <w:rPr>
          <w:rFonts w:ascii="Open Sans" w:eastAsia="Times New Roman" w:hAnsi="Open Sans" w:cs="Open Sans"/>
          <w:sz w:val="18"/>
          <w:szCs w:val="18"/>
          <w:lang w:eastAsia="ar-SA"/>
        </w:rPr>
        <w:t>"</w:t>
      </w:r>
      <w:r w:rsidR="00CD0354" w:rsidRPr="00196438">
        <w:rPr>
          <w:rFonts w:ascii="Open Sans" w:eastAsia="Times New Roman" w:hAnsi="Open Sans" w:cs="Open Sans"/>
          <w:i/>
          <w:sz w:val="18"/>
          <w:szCs w:val="18"/>
          <w:lang w:eastAsia="ar-SA"/>
        </w:rPr>
        <w:t>ak predávajúci skrýva alebo poskytuje nejasným, nezrozumiteľným, viacvýznamovým alebo nevhodným spôsobom podstatné informácie, pričom v dôsledku klamlivého opomenutia priemerný spotrebiteľ prijme rozhodnutie o obchodnej transakcii, ktoré by inak neprijal</w:t>
      </w:r>
      <w:r w:rsidR="000E5CAC" w:rsidRPr="00196438">
        <w:rPr>
          <w:rFonts w:ascii="Open Sans" w:eastAsia="Times New Roman" w:hAnsi="Open Sans" w:cs="Open Sans"/>
          <w:sz w:val="18"/>
          <w:szCs w:val="18"/>
          <w:lang w:eastAsia="ar-SA"/>
        </w:rPr>
        <w:t>"</w:t>
      </w:r>
      <w:r w:rsidR="00CD0354" w:rsidRPr="00196438">
        <w:rPr>
          <w:rFonts w:ascii="Open Sans" w:eastAsia="Times New Roman" w:hAnsi="Open Sans" w:cs="Open Sans"/>
          <w:sz w:val="18"/>
          <w:szCs w:val="18"/>
          <w:lang w:eastAsia="ar-SA"/>
        </w:rPr>
        <w:t xml:space="preserve">. </w:t>
      </w:r>
    </w:p>
    <w:p w14:paraId="7CC853E8"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9"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Takáto nekalá obchodná praktika veriteľov a neprijate</w:t>
      </w:r>
      <w:r w:rsidR="0012189A" w:rsidRPr="00196438">
        <w:rPr>
          <w:rFonts w:ascii="Open Sans" w:eastAsia="Times New Roman" w:hAnsi="Open Sans" w:cs="Open Sans"/>
          <w:sz w:val="18"/>
          <w:szCs w:val="18"/>
          <w:lang w:eastAsia="ar-SA"/>
        </w:rPr>
        <w:t>ľná obchodná podmienka spočíva</w:t>
      </w:r>
      <w:r w:rsidRPr="00196438">
        <w:rPr>
          <w:rFonts w:ascii="Open Sans" w:eastAsia="Times New Roman" w:hAnsi="Open Sans" w:cs="Open Sans"/>
          <w:sz w:val="18"/>
          <w:szCs w:val="18"/>
          <w:lang w:eastAsia="ar-SA"/>
        </w:rPr>
        <w:t xml:space="preserve"> v tom, že spotrebiteľovi sú predložené na podpis zmluvy, v ktorých absolútne nie je uvedené, v akej výške bude mesačne spotrebiteľ hradiť úroky úverov ako odmenu veriteľa a v akom pome</w:t>
      </w:r>
      <w:r w:rsidR="000E5CAC" w:rsidRPr="00196438">
        <w:rPr>
          <w:rFonts w:ascii="Open Sans" w:eastAsia="Times New Roman" w:hAnsi="Open Sans" w:cs="Open Sans"/>
          <w:sz w:val="18"/>
          <w:szCs w:val="18"/>
          <w:lang w:eastAsia="ar-SA"/>
        </w:rPr>
        <w:t>re bude splácať istinu úveru, pričom informácia o splácaní odmeny je jedna z najpodstatnejších informácií v zmluve vôbec</w:t>
      </w:r>
      <w:r w:rsidRPr="00196438">
        <w:rPr>
          <w:rFonts w:ascii="Open Sans" w:eastAsia="Times New Roman" w:hAnsi="Open Sans" w:cs="Open Sans"/>
          <w:sz w:val="18"/>
          <w:szCs w:val="18"/>
          <w:lang w:eastAsia="ar-SA"/>
        </w:rPr>
        <w:t>.</w:t>
      </w:r>
      <w:r w:rsidR="000E5CAC" w:rsidRPr="00196438">
        <w:rPr>
          <w:rFonts w:ascii="Open Sans" w:eastAsia="Times New Roman" w:hAnsi="Open Sans" w:cs="Open Sans"/>
          <w:sz w:val="18"/>
          <w:szCs w:val="18"/>
          <w:lang w:eastAsia="ar-SA"/>
        </w:rPr>
        <w:t xml:space="preserve"> Veriteľom nerobí problém túto informáciu do zmlúv včleniť, avšak veritelia túto informáciu do zmlúv zámerne nevkladajú a skrývajú ju. </w:t>
      </w:r>
      <w:r w:rsidRPr="00196438">
        <w:rPr>
          <w:rFonts w:ascii="Open Sans" w:eastAsia="Times New Roman" w:hAnsi="Open Sans" w:cs="Open Sans"/>
          <w:sz w:val="18"/>
          <w:szCs w:val="18"/>
          <w:lang w:eastAsia="ar-SA"/>
        </w:rPr>
        <w:t xml:space="preserve">Keďže toto rozdelenie neurčuje spotrebiteľ a ani nie je o spôsobe tohto pomeru </w:t>
      </w:r>
      <w:r w:rsidRPr="00196438">
        <w:rPr>
          <w:rFonts w:ascii="Open Sans" w:eastAsia="Times New Roman" w:hAnsi="Open Sans" w:cs="Open Sans"/>
          <w:sz w:val="18"/>
          <w:szCs w:val="18"/>
          <w:lang w:eastAsia="ar-SA"/>
        </w:rPr>
        <w:lastRenderedPageBreak/>
        <w:t>informovaný pred uzavretím zmluvy a ani v zmluve samotnej, takouto obchodnou praktikou veriteľov je spôsobovaná značná nerovnováha v právach a povinnostiach zmluvných strán v neprospech spotrebiteľa.</w:t>
      </w:r>
    </w:p>
    <w:p w14:paraId="7CC853EA"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B" w14:textId="77777777" w:rsidR="00CD0354" w:rsidRPr="00196438" w:rsidRDefault="009B7BA6"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i/>
          <w:sz w:val="18"/>
          <w:szCs w:val="18"/>
          <w:lang w:eastAsia="ar-SA"/>
        </w:rPr>
        <w:t xml:space="preserve">In </w:t>
      </w:r>
      <w:proofErr w:type="spellStart"/>
      <w:r w:rsidRPr="00196438">
        <w:rPr>
          <w:rFonts w:ascii="Open Sans" w:eastAsia="Times New Roman" w:hAnsi="Open Sans" w:cs="Open Sans"/>
          <w:i/>
          <w:sz w:val="18"/>
          <w:szCs w:val="18"/>
          <w:lang w:eastAsia="ar-SA"/>
        </w:rPr>
        <w:t>concreto</w:t>
      </w:r>
      <w:proofErr w:type="spellEnd"/>
      <w:r w:rsidRPr="00196438">
        <w:rPr>
          <w:rFonts w:ascii="Open Sans" w:eastAsia="Times New Roman" w:hAnsi="Open Sans" w:cs="Open Sans"/>
          <w:sz w:val="18"/>
          <w:szCs w:val="18"/>
          <w:lang w:eastAsia="ar-SA"/>
        </w:rPr>
        <w:t>, v</w:t>
      </w:r>
      <w:r w:rsidR="00CD0354" w:rsidRPr="00196438">
        <w:rPr>
          <w:rFonts w:ascii="Open Sans" w:eastAsia="Times New Roman" w:hAnsi="Open Sans" w:cs="Open Sans"/>
          <w:sz w:val="18"/>
          <w:szCs w:val="18"/>
          <w:lang w:eastAsia="ar-SA"/>
        </w:rPr>
        <w:t xml:space="preserve"> zmysle </w:t>
      </w:r>
      <w:proofErr w:type="spellStart"/>
      <w:r w:rsidR="00CD0354" w:rsidRPr="00196438">
        <w:rPr>
          <w:rFonts w:ascii="Open Sans" w:eastAsia="Times New Roman" w:hAnsi="Open Sans" w:cs="Open Sans"/>
          <w:sz w:val="18"/>
          <w:szCs w:val="18"/>
          <w:lang w:eastAsia="ar-SA"/>
        </w:rPr>
        <w:t>ust</w:t>
      </w:r>
      <w:proofErr w:type="spellEnd"/>
      <w:r w:rsidR="00CD0354" w:rsidRPr="00196438">
        <w:rPr>
          <w:rFonts w:ascii="Open Sans" w:eastAsia="Times New Roman" w:hAnsi="Open Sans" w:cs="Open Sans"/>
          <w:sz w:val="18"/>
          <w:szCs w:val="18"/>
          <w:lang w:eastAsia="ar-SA"/>
        </w:rPr>
        <w:t>. § 53 ods. 4 písm. a) Občianskeho zákonníka "</w:t>
      </w:r>
      <w:r w:rsidR="00CD0354" w:rsidRPr="00196438">
        <w:rPr>
          <w:rFonts w:ascii="Open Sans" w:eastAsia="Times New Roman" w:hAnsi="Open Sans" w:cs="Open Sans"/>
          <w:i/>
          <w:sz w:val="18"/>
          <w:szCs w:val="18"/>
          <w:lang w:eastAsia="ar-SA"/>
        </w:rPr>
        <w:t>Za neprijateľné podmienky uvedené v spotrebiteľskej zmluve sa považujú najmä ustanovenia, ktoré má spotrebiteľ plniť a s ktorými sa nemal možnosť oboznámiť pred uzavretím zmluvy</w:t>
      </w:r>
      <w:r w:rsidR="00CD0354" w:rsidRPr="00196438">
        <w:rPr>
          <w:rFonts w:ascii="Open Sans" w:eastAsia="Times New Roman" w:hAnsi="Open Sans" w:cs="Open Sans"/>
          <w:sz w:val="18"/>
          <w:szCs w:val="18"/>
          <w:lang w:eastAsia="ar-SA"/>
        </w:rPr>
        <w:t>"</w:t>
      </w:r>
      <w:r w:rsidRPr="00196438">
        <w:rPr>
          <w:rFonts w:ascii="Open Sans" w:eastAsia="Times New Roman" w:hAnsi="Open Sans" w:cs="Open Sans"/>
          <w:sz w:val="18"/>
          <w:szCs w:val="18"/>
          <w:lang w:eastAsia="ar-SA"/>
        </w:rPr>
        <w:t xml:space="preserve">, pričom hypotéza tejto normy je naplnená tým, že </w:t>
      </w:r>
      <w:r w:rsidR="00CD0354" w:rsidRPr="00196438">
        <w:rPr>
          <w:rFonts w:ascii="Open Sans" w:eastAsia="Times New Roman" w:hAnsi="Open Sans" w:cs="Open Sans"/>
          <w:sz w:val="18"/>
          <w:szCs w:val="18"/>
          <w:lang w:eastAsia="ar-SA"/>
        </w:rPr>
        <w:t>spotrebiteľ má splácať istinu úveru a zároveň platiť odmenu veriteľovi vo forme úrokov, avšak pred uzavretím zmluvy (a ani v zmluve samotnej) nemá spotrebiteľ možnosť oboznámiť sa, v akej výške bude mesačne splácať svoj dlh a v akej výške bude platiť odmenu veriteľa.</w:t>
      </w:r>
    </w:p>
    <w:p w14:paraId="7CC853EC"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p>
    <w:p w14:paraId="7CC853ED" w14:textId="77777777" w:rsidR="00CD0354" w:rsidRPr="00196438" w:rsidRDefault="00CD0354" w:rsidP="00CD0354">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 xml:space="preserve">V zmysle </w:t>
      </w:r>
      <w:proofErr w:type="spellStart"/>
      <w:r w:rsidRPr="00196438">
        <w:rPr>
          <w:rFonts w:ascii="Open Sans" w:eastAsia="Times New Roman" w:hAnsi="Open Sans" w:cs="Open Sans"/>
          <w:sz w:val="18"/>
          <w:szCs w:val="18"/>
          <w:lang w:eastAsia="ar-SA"/>
        </w:rPr>
        <w:t>ust</w:t>
      </w:r>
      <w:proofErr w:type="spellEnd"/>
      <w:r w:rsidRPr="00196438">
        <w:rPr>
          <w:rFonts w:ascii="Open Sans" w:eastAsia="Times New Roman" w:hAnsi="Open Sans" w:cs="Open Sans"/>
          <w:sz w:val="18"/>
          <w:szCs w:val="18"/>
          <w:lang w:eastAsia="ar-SA"/>
        </w:rPr>
        <w:t>. § 53 ods. 4 písm. o) Občianskeho zákonníka "</w:t>
      </w:r>
      <w:r w:rsidRPr="00196438">
        <w:rPr>
          <w:rFonts w:ascii="Open Sans" w:eastAsia="Times New Roman" w:hAnsi="Open Sans" w:cs="Open Sans"/>
          <w:i/>
          <w:sz w:val="18"/>
          <w:szCs w:val="18"/>
          <w:lang w:eastAsia="ar-SA"/>
        </w:rPr>
        <w:t>Za neprijateľné podmienky uvedené v spotrebiteľskej zmluve sa považujú najmä ustanovenia, ktoré oprávňujú dodávateľa rozhodnúť o tom, že jeho plnenie je v súlade so zmluvou, alebo ktoré priznávajú právo zmluvu vykladať iba dodávateľovi</w:t>
      </w:r>
      <w:r w:rsidRPr="00196438">
        <w:rPr>
          <w:rFonts w:ascii="Open Sans" w:eastAsia="Times New Roman" w:hAnsi="Open Sans" w:cs="Open Sans"/>
          <w:sz w:val="18"/>
          <w:szCs w:val="18"/>
          <w:lang w:eastAsia="ar-SA"/>
        </w:rPr>
        <w:t>"</w:t>
      </w:r>
      <w:r w:rsidR="009B7BA6" w:rsidRPr="00196438">
        <w:rPr>
          <w:rFonts w:ascii="Open Sans" w:eastAsia="Times New Roman" w:hAnsi="Open Sans" w:cs="Open Sans"/>
          <w:sz w:val="18"/>
          <w:szCs w:val="18"/>
          <w:lang w:eastAsia="ar-SA"/>
        </w:rPr>
        <w:t xml:space="preserve">, pričom v konkrétnom správaní veriteľov sa to prejavuje v tom, že </w:t>
      </w:r>
      <w:r w:rsidRPr="00196438">
        <w:rPr>
          <w:rFonts w:ascii="Open Sans" w:eastAsia="Times New Roman" w:hAnsi="Open Sans" w:cs="Open Sans"/>
          <w:sz w:val="18"/>
          <w:szCs w:val="18"/>
          <w:lang w:eastAsia="ar-SA"/>
        </w:rPr>
        <w:t>nielen do momentu vyžiadania si amortizačnej tabuľky, dokonca aj vypracovaním samotnej amortizačnej tabuľky - je to veriteľ, kto po podpise zmluvy jednostranne určuje, aká časť bude použitá na splátku istiny a aká časť bude použitá na splátku odmeny veriteľa bez toho, aby do toho mohol spotrebiteľ akokoľvek zasiahnuť.</w:t>
      </w:r>
    </w:p>
    <w:p w14:paraId="7CC853EE" w14:textId="77777777" w:rsidR="00CD0354" w:rsidRPr="00196438" w:rsidRDefault="00CD0354" w:rsidP="008C3E35">
      <w:pPr>
        <w:tabs>
          <w:tab w:val="left" w:pos="708"/>
          <w:tab w:val="left" w:pos="6674"/>
        </w:tabs>
        <w:suppressAutoHyphens/>
        <w:spacing w:after="0"/>
        <w:jc w:val="both"/>
        <w:rPr>
          <w:rFonts w:ascii="Open Sans" w:eastAsia="Times New Roman" w:hAnsi="Open Sans" w:cs="Open Sans"/>
          <w:sz w:val="18"/>
          <w:szCs w:val="18"/>
          <w:lang w:eastAsia="ar-SA"/>
        </w:rPr>
      </w:pPr>
    </w:p>
    <w:p w14:paraId="7CC853EF" w14:textId="77777777" w:rsidR="009B7BA6" w:rsidRPr="00196438" w:rsidRDefault="009B7BA6" w:rsidP="00A477A0">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V zmysle vyššie uvedeného, okrem skutočnosti, že Smernici nie je možné ani po Rozsudku C 42-15 priznať ani priamy ani nepriamy účinok</w:t>
      </w:r>
      <w:r w:rsidR="008C3E35" w:rsidRPr="00196438">
        <w:rPr>
          <w:rFonts w:ascii="Open Sans" w:eastAsia="Times New Roman" w:hAnsi="Open Sans" w:cs="Open Sans"/>
          <w:sz w:val="18"/>
          <w:szCs w:val="18"/>
          <w:lang w:eastAsia="ar-SA"/>
        </w:rPr>
        <w:t>, je potrebné vyhodnotiť nečlenenie splátok na istinu úroky a poplatky ako neprijateľnú spotrebiteľskú podmienku.</w:t>
      </w:r>
    </w:p>
    <w:p w14:paraId="7CC853F0" w14:textId="77777777" w:rsidR="009B7BA6" w:rsidRPr="00196438" w:rsidRDefault="009B7BA6" w:rsidP="00A477A0">
      <w:pPr>
        <w:tabs>
          <w:tab w:val="left" w:pos="708"/>
          <w:tab w:val="left" w:pos="6674"/>
        </w:tabs>
        <w:suppressAutoHyphens/>
        <w:spacing w:after="0"/>
        <w:jc w:val="both"/>
        <w:rPr>
          <w:rFonts w:ascii="Open Sans" w:eastAsia="Times New Roman" w:hAnsi="Open Sans" w:cs="Open Sans"/>
          <w:sz w:val="18"/>
          <w:szCs w:val="18"/>
          <w:lang w:eastAsia="ar-SA"/>
        </w:rPr>
      </w:pPr>
    </w:p>
    <w:p w14:paraId="7CC853F1" w14:textId="77777777" w:rsidR="003F1722" w:rsidRPr="00196438" w:rsidRDefault="009B7BA6" w:rsidP="0012189A">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Navyše, v prípadoch, kedy v zmluvách o spotrebiteľských úveroch nie sú uvedené informácie o splátkach v členení na splátky istiny, splátky úrokov a splátky iných poplatkov, bude sa aplikovať ustanovenie § 566 Občianskeho zákonníka, v zmysle ktorého "</w:t>
      </w:r>
      <w:r w:rsidRPr="00196438">
        <w:rPr>
          <w:rFonts w:ascii="Open Sans" w:eastAsia="Times New Roman" w:hAnsi="Open Sans" w:cs="Open Sans"/>
          <w:i/>
          <w:sz w:val="18"/>
          <w:szCs w:val="18"/>
          <w:lang w:eastAsia="ar-SA"/>
        </w:rPr>
        <w:t>pri čiastočnom plnení peňažného dlhu sa plnenie dlžníka započítava najprv na istinu a potom na úroky, ak dlžník neurčí inak</w:t>
      </w:r>
      <w:r w:rsidRPr="00196438">
        <w:rPr>
          <w:rFonts w:ascii="Open Sans" w:eastAsia="Times New Roman" w:hAnsi="Open Sans" w:cs="Open Sans"/>
          <w:sz w:val="18"/>
          <w:szCs w:val="18"/>
          <w:lang w:eastAsia="ar-SA"/>
        </w:rPr>
        <w:t xml:space="preserve">", a súdy musia zostatky, na ktoré si veritelia nárokujú, posúdiť z hľadiska toho, či sú v </w:t>
      </w:r>
      <w:r w:rsidR="000007B0" w:rsidRPr="00196438">
        <w:rPr>
          <w:rFonts w:ascii="Open Sans" w:eastAsia="Times New Roman" w:hAnsi="Open Sans" w:cs="Open Sans"/>
          <w:sz w:val="18"/>
          <w:szCs w:val="18"/>
          <w:lang w:eastAsia="ar-SA"/>
        </w:rPr>
        <w:t>súlade s touto zákonnou normou.</w:t>
      </w:r>
    </w:p>
    <w:p w14:paraId="7CC853F2" w14:textId="77777777" w:rsidR="00751FF6" w:rsidRPr="00196438" w:rsidRDefault="00751FF6" w:rsidP="0012189A">
      <w:pPr>
        <w:tabs>
          <w:tab w:val="left" w:pos="708"/>
          <w:tab w:val="left" w:pos="6674"/>
        </w:tabs>
        <w:suppressAutoHyphens/>
        <w:spacing w:after="0"/>
        <w:jc w:val="both"/>
        <w:rPr>
          <w:rFonts w:ascii="Open Sans" w:eastAsia="Times New Roman" w:hAnsi="Open Sans" w:cs="Open Sans"/>
          <w:sz w:val="18"/>
          <w:szCs w:val="18"/>
          <w:lang w:eastAsia="ar-SA"/>
        </w:rPr>
      </w:pPr>
    </w:p>
    <w:p w14:paraId="3A110381" w14:textId="77777777" w:rsidR="00196438" w:rsidRDefault="00196438" w:rsidP="0012189A">
      <w:pPr>
        <w:tabs>
          <w:tab w:val="left" w:pos="708"/>
          <w:tab w:val="left" w:pos="6674"/>
        </w:tabs>
        <w:suppressAutoHyphens/>
        <w:spacing w:after="0"/>
        <w:jc w:val="both"/>
        <w:rPr>
          <w:rFonts w:ascii="Open Sans" w:eastAsia="Times New Roman" w:hAnsi="Open Sans" w:cs="Open Sans"/>
          <w:b/>
          <w:sz w:val="18"/>
          <w:szCs w:val="18"/>
          <w:lang w:eastAsia="ar-SA"/>
        </w:rPr>
      </w:pPr>
    </w:p>
    <w:p w14:paraId="0F0D72D9" w14:textId="77777777" w:rsidR="00196438" w:rsidRDefault="00196438" w:rsidP="0012189A">
      <w:pPr>
        <w:tabs>
          <w:tab w:val="left" w:pos="708"/>
          <w:tab w:val="left" w:pos="6674"/>
        </w:tabs>
        <w:suppressAutoHyphens/>
        <w:spacing w:after="0"/>
        <w:jc w:val="both"/>
        <w:rPr>
          <w:rFonts w:ascii="Open Sans" w:eastAsia="Times New Roman" w:hAnsi="Open Sans" w:cs="Open Sans"/>
          <w:b/>
          <w:sz w:val="18"/>
          <w:szCs w:val="18"/>
          <w:lang w:eastAsia="ar-SA"/>
        </w:rPr>
      </w:pPr>
    </w:p>
    <w:p w14:paraId="65653DB1" w14:textId="5B23FF7E" w:rsidR="00196438" w:rsidRDefault="00751FF6" w:rsidP="0012189A">
      <w:pPr>
        <w:tabs>
          <w:tab w:val="left" w:pos="708"/>
          <w:tab w:val="left" w:pos="6674"/>
        </w:tabs>
        <w:suppressAutoHyphens/>
        <w:spacing w:after="0"/>
        <w:jc w:val="both"/>
        <w:rPr>
          <w:rFonts w:ascii="Open Sans" w:eastAsia="Times New Roman" w:hAnsi="Open Sans" w:cs="Open Sans"/>
          <w:b/>
          <w:sz w:val="18"/>
          <w:szCs w:val="18"/>
          <w:lang w:eastAsia="ar-SA"/>
        </w:rPr>
      </w:pPr>
      <w:r w:rsidRPr="00196438">
        <w:rPr>
          <w:rFonts w:ascii="Open Sans" w:eastAsia="Times New Roman" w:hAnsi="Open Sans" w:cs="Open Sans"/>
          <w:b/>
          <w:sz w:val="18"/>
          <w:szCs w:val="18"/>
          <w:lang w:eastAsia="ar-SA"/>
        </w:rPr>
        <w:t>Mgr. Anton Pavúk</w:t>
      </w:r>
    </w:p>
    <w:p w14:paraId="7CC853F3" w14:textId="7049E984" w:rsidR="00751FF6" w:rsidRPr="00196438" w:rsidRDefault="00196438" w:rsidP="0012189A">
      <w:pPr>
        <w:tabs>
          <w:tab w:val="left" w:pos="708"/>
          <w:tab w:val="left" w:pos="6674"/>
        </w:tabs>
        <w:suppressAutoHyphens/>
        <w:spacing w:after="0"/>
        <w:jc w:val="both"/>
        <w:rPr>
          <w:rFonts w:ascii="Open Sans" w:eastAsia="Times New Roman" w:hAnsi="Open Sans" w:cs="Open Sans"/>
          <w:sz w:val="18"/>
          <w:szCs w:val="18"/>
          <w:lang w:eastAsia="ar-SA"/>
        </w:rPr>
      </w:pPr>
      <w:r w:rsidRPr="00196438">
        <w:rPr>
          <w:rFonts w:ascii="Open Sans" w:eastAsia="Times New Roman" w:hAnsi="Open Sans" w:cs="Open Sans"/>
          <w:sz w:val="18"/>
          <w:szCs w:val="18"/>
          <w:lang w:eastAsia="ar-SA"/>
        </w:rPr>
        <w:t>a</w:t>
      </w:r>
      <w:r w:rsidR="008B0CCB" w:rsidRPr="00196438">
        <w:rPr>
          <w:rFonts w:ascii="Open Sans" w:eastAsia="Times New Roman" w:hAnsi="Open Sans" w:cs="Open Sans"/>
          <w:sz w:val="18"/>
          <w:szCs w:val="18"/>
          <w:lang w:eastAsia="ar-SA"/>
        </w:rPr>
        <w:t>dvokát</w:t>
      </w:r>
      <w:r w:rsidRPr="00196438">
        <w:rPr>
          <w:rFonts w:ascii="Open Sans" w:eastAsia="Times New Roman" w:hAnsi="Open Sans" w:cs="Open Sans"/>
          <w:sz w:val="18"/>
          <w:szCs w:val="18"/>
          <w:lang w:eastAsia="ar-SA"/>
        </w:rPr>
        <w:t xml:space="preserve"> a partner</w:t>
      </w:r>
    </w:p>
    <w:p w14:paraId="7CC853F4" w14:textId="77777777" w:rsidR="0012189A" w:rsidRPr="00196438" w:rsidRDefault="0012189A" w:rsidP="0012189A">
      <w:pPr>
        <w:tabs>
          <w:tab w:val="left" w:pos="708"/>
          <w:tab w:val="left" w:pos="6674"/>
        </w:tabs>
        <w:suppressAutoHyphens/>
        <w:spacing w:after="0"/>
        <w:jc w:val="center"/>
        <w:rPr>
          <w:rFonts w:ascii="Open Sans" w:eastAsia="Times New Roman" w:hAnsi="Open Sans" w:cs="Open Sans"/>
          <w:b/>
          <w:sz w:val="18"/>
          <w:szCs w:val="18"/>
          <w:lang w:eastAsia="ar-SA"/>
        </w:rPr>
      </w:pPr>
    </w:p>
    <w:p w14:paraId="7CC853F5" w14:textId="77777777" w:rsidR="003F1722" w:rsidRPr="00196438" w:rsidRDefault="003F1722" w:rsidP="00A477A0">
      <w:pPr>
        <w:tabs>
          <w:tab w:val="left" w:pos="708"/>
          <w:tab w:val="left" w:pos="6674"/>
        </w:tabs>
        <w:suppressAutoHyphens/>
        <w:spacing w:after="0"/>
        <w:jc w:val="both"/>
        <w:rPr>
          <w:rFonts w:ascii="Open Sans" w:eastAsia="Times New Roman" w:hAnsi="Open Sans" w:cs="Open Sans"/>
          <w:sz w:val="18"/>
          <w:szCs w:val="18"/>
          <w:lang w:eastAsia="ar-SA"/>
        </w:rPr>
      </w:pPr>
    </w:p>
    <w:sectPr w:rsidR="003F1722" w:rsidRPr="00196438" w:rsidSect="0019643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53FA" w14:textId="77777777" w:rsidR="007E4A56" w:rsidRDefault="007E4A56" w:rsidP="0008305D">
      <w:pPr>
        <w:spacing w:after="0" w:line="240" w:lineRule="auto"/>
      </w:pPr>
      <w:r>
        <w:separator/>
      </w:r>
    </w:p>
  </w:endnote>
  <w:endnote w:type="continuationSeparator" w:id="0">
    <w:p w14:paraId="7CC853FB" w14:textId="77777777" w:rsidR="007E4A56" w:rsidRDefault="007E4A56" w:rsidP="0008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08392621"/>
      <w:docPartObj>
        <w:docPartGallery w:val="Page Numbers (Bottom of Page)"/>
        <w:docPartUnique/>
      </w:docPartObj>
    </w:sdtPr>
    <w:sdtContent>
      <w:p w14:paraId="7A29ECEB" w14:textId="4F7393EF" w:rsidR="00196438" w:rsidRPr="00196438" w:rsidRDefault="00196438">
        <w:pPr>
          <w:pStyle w:val="Pta"/>
          <w:jc w:val="center"/>
          <w:rPr>
            <w:sz w:val="18"/>
            <w:szCs w:val="18"/>
          </w:rPr>
        </w:pPr>
        <w:r w:rsidRPr="00196438">
          <w:rPr>
            <w:sz w:val="18"/>
            <w:szCs w:val="18"/>
          </w:rPr>
          <w:fldChar w:fldCharType="begin"/>
        </w:r>
        <w:r w:rsidRPr="00196438">
          <w:rPr>
            <w:sz w:val="18"/>
            <w:szCs w:val="18"/>
          </w:rPr>
          <w:instrText>PAGE   \* MERGEFORMAT</w:instrText>
        </w:r>
        <w:r w:rsidRPr="00196438">
          <w:rPr>
            <w:sz w:val="18"/>
            <w:szCs w:val="18"/>
          </w:rPr>
          <w:fldChar w:fldCharType="separate"/>
        </w:r>
        <w:r>
          <w:rPr>
            <w:noProof/>
            <w:sz w:val="18"/>
            <w:szCs w:val="18"/>
          </w:rPr>
          <w:t>13</w:t>
        </w:r>
        <w:r w:rsidRPr="00196438">
          <w:rPr>
            <w:sz w:val="18"/>
            <w:szCs w:val="18"/>
          </w:rPr>
          <w:fldChar w:fldCharType="end"/>
        </w:r>
      </w:p>
    </w:sdtContent>
  </w:sdt>
  <w:p w14:paraId="0F4DCD05" w14:textId="77777777" w:rsidR="00196438" w:rsidRPr="00196438" w:rsidRDefault="00196438">
    <w:pPr>
      <w:pStyle w:val="Pt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F6B1" w14:textId="77777777" w:rsidR="00196438" w:rsidRDefault="00196438" w:rsidP="00196438">
    <w:pPr>
      <w:pStyle w:val="Pta"/>
      <w:tabs>
        <w:tab w:val="clear" w:pos="4536"/>
        <w:tab w:val="clear" w:pos="9072"/>
      </w:tabs>
      <w:jc w:val="center"/>
      <w:rPr>
        <w:rFonts w:ascii="Open Sans" w:eastAsia="MS Mincho" w:hAnsi="Open Sans" w:cs="Open Sans"/>
        <w:b/>
        <w:color w:val="BD8F2D"/>
        <w:sz w:val="16"/>
        <w:szCs w:val="16"/>
        <w:lang w:val="en-GB"/>
      </w:rPr>
    </w:pPr>
    <w:bookmarkStart w:id="1" w:name="_Hlk493608636"/>
    <w:bookmarkStart w:id="2" w:name="_Hlk493608637"/>
    <w:bookmarkStart w:id="3" w:name="_Hlk493608638"/>
  </w:p>
  <w:p w14:paraId="6C2A7E87" w14:textId="48CBCE1C" w:rsidR="00196438" w:rsidRPr="00A41504" w:rsidRDefault="00196438" w:rsidP="00196438">
    <w:pPr>
      <w:pStyle w:val="Pta"/>
      <w:tabs>
        <w:tab w:val="clear" w:pos="4536"/>
        <w:tab w:val="clear" w:pos="9072"/>
      </w:tabs>
      <w:jc w:val="center"/>
      <w:rPr>
        <w:rFonts w:ascii="Open Sans" w:eastAsia="MS Mincho" w:hAnsi="Open Sans" w:cs="Open Sans"/>
        <w:b/>
        <w:color w:val="BD8F2D"/>
        <w:sz w:val="16"/>
        <w:szCs w:val="16"/>
        <w:lang w:val="en-GB"/>
      </w:rPr>
    </w:pPr>
    <w:r w:rsidRPr="00A41504">
      <w:rPr>
        <w:rFonts w:ascii="Open Sans" w:eastAsia="MS Mincho" w:hAnsi="Open Sans" w:cs="Open Sans"/>
        <w:b/>
        <w:color w:val="BD8F2D"/>
        <w:sz w:val="16"/>
        <w:szCs w:val="16"/>
        <w:lang w:val="en-GB"/>
      </w:rPr>
      <w:t xml:space="preserve">WEBBER LEGAL,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so </w:t>
    </w:r>
    <w:proofErr w:type="spellStart"/>
    <w:r w:rsidRPr="00A41504">
      <w:rPr>
        <w:rFonts w:ascii="Open Sans" w:eastAsia="MS Mincho" w:hAnsi="Open Sans" w:cs="Open Sans"/>
        <w:b/>
        <w:color w:val="BD8F2D"/>
        <w:sz w:val="16"/>
        <w:szCs w:val="16"/>
        <w:lang w:val="en-GB"/>
      </w:rPr>
      <w:t>sídlom</w:t>
    </w:r>
    <w:proofErr w:type="spellEnd"/>
    <w:r w:rsidRPr="00A41504">
      <w:rPr>
        <w:rFonts w:ascii="Open Sans" w:eastAsia="MS Mincho" w:hAnsi="Open Sans" w:cs="Open Sans"/>
        <w:b/>
        <w:color w:val="BD8F2D"/>
        <w:sz w:val="16"/>
        <w:szCs w:val="16"/>
        <w:lang w:val="en-GB"/>
      </w:rPr>
      <w:t xml:space="preserve"> Na </w:t>
    </w:r>
    <w:proofErr w:type="spellStart"/>
    <w:r w:rsidRPr="00A41504">
      <w:rPr>
        <w:rFonts w:ascii="Open Sans" w:eastAsia="MS Mincho" w:hAnsi="Open Sans" w:cs="Open Sans"/>
        <w:b/>
        <w:color w:val="BD8F2D"/>
        <w:sz w:val="16"/>
        <w:szCs w:val="16"/>
        <w:lang w:val="en-GB"/>
      </w:rPr>
      <w:t>rozhliadke</w:t>
    </w:r>
    <w:proofErr w:type="spellEnd"/>
    <w:r w:rsidRPr="00A41504">
      <w:rPr>
        <w:rFonts w:ascii="Open Sans" w:eastAsia="MS Mincho" w:hAnsi="Open Sans" w:cs="Open Sans"/>
        <w:b/>
        <w:color w:val="BD8F2D"/>
        <w:sz w:val="16"/>
        <w:szCs w:val="16"/>
        <w:lang w:val="en-GB"/>
      </w:rPr>
      <w:t xml:space="preserve"> 2, Bratislava - </w:t>
    </w:r>
    <w:proofErr w:type="spellStart"/>
    <w:r w:rsidRPr="00A41504">
      <w:rPr>
        <w:rFonts w:ascii="Open Sans" w:eastAsia="MS Mincho" w:hAnsi="Open Sans" w:cs="Open Sans"/>
        <w:b/>
        <w:color w:val="BD8F2D"/>
        <w:sz w:val="16"/>
        <w:szCs w:val="16"/>
        <w:lang w:val="en-GB"/>
      </w:rPr>
      <w:t>mestská</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časť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Nové</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Mesto</w:t>
    </w:r>
    <w:proofErr w:type="spellEnd"/>
    <w:r w:rsidRPr="00A41504">
      <w:rPr>
        <w:rFonts w:ascii="Open Sans" w:eastAsia="MS Mincho" w:hAnsi="Open Sans" w:cs="Open Sans"/>
        <w:b/>
        <w:color w:val="BD8F2D"/>
        <w:sz w:val="16"/>
        <w:szCs w:val="16"/>
        <w:lang w:val="en-GB"/>
      </w:rPr>
      <w:t xml:space="preserve"> 831 01, IČO: 50 680 552, </w:t>
    </w:r>
    <w:proofErr w:type="spellStart"/>
    <w:r w:rsidRPr="00A41504">
      <w:rPr>
        <w:rFonts w:ascii="Open Sans" w:eastAsia="MS Mincho" w:hAnsi="Open Sans" w:cs="Open Sans"/>
        <w:b/>
        <w:color w:val="BD8F2D"/>
        <w:sz w:val="16"/>
        <w:szCs w:val="16"/>
        <w:lang w:val="en-GB"/>
      </w:rPr>
      <w:t>spoločnosť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zapísaná</w:t>
    </w:r>
    <w:proofErr w:type="spellEnd"/>
    <w:r w:rsidRPr="00A41504">
      <w:rPr>
        <w:rFonts w:ascii="Open Sans" w:eastAsia="MS Mincho" w:hAnsi="Open Sans" w:cs="Open Sans"/>
        <w:b/>
        <w:color w:val="BD8F2D"/>
        <w:sz w:val="16"/>
        <w:szCs w:val="16"/>
        <w:lang w:val="en-GB"/>
      </w:rPr>
      <w:t xml:space="preserve"> do </w:t>
    </w:r>
    <w:proofErr w:type="spellStart"/>
    <w:r w:rsidRPr="00A41504">
      <w:rPr>
        <w:rFonts w:ascii="Open Sans" w:eastAsia="MS Mincho" w:hAnsi="Open Sans" w:cs="Open Sans"/>
        <w:b/>
        <w:color w:val="BD8F2D"/>
        <w:sz w:val="16"/>
        <w:szCs w:val="16"/>
        <w:lang w:val="en-GB"/>
      </w:rPr>
      <w:t>Obchodného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registra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Okresného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súdu</w:t>
    </w:r>
    <w:proofErr w:type="spellEnd"/>
    <w:r w:rsidRPr="00A41504">
      <w:rPr>
        <w:rFonts w:ascii="Open Sans" w:eastAsia="MS Mincho" w:hAnsi="Open Sans" w:cs="Open Sans"/>
        <w:b/>
        <w:color w:val="BD8F2D"/>
        <w:sz w:val="16"/>
        <w:szCs w:val="16"/>
        <w:lang w:val="en-GB"/>
      </w:rPr>
      <w:t xml:space="preserve"> Bratislava I, </w:t>
    </w:r>
    <w:proofErr w:type="spellStart"/>
    <w:r w:rsidRPr="00A41504">
      <w:rPr>
        <w:rFonts w:ascii="Open Sans" w:eastAsia="MS Mincho" w:hAnsi="Open Sans" w:cs="Open Sans"/>
        <w:b/>
        <w:color w:val="BD8F2D"/>
        <w:sz w:val="16"/>
        <w:szCs w:val="16"/>
        <w:lang w:val="en-GB"/>
      </w:rPr>
      <w:t>oddiel</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vložka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číslo</w:t>
    </w:r>
    <w:proofErr w:type="spellEnd"/>
    <w:r w:rsidRPr="00A41504">
      <w:rPr>
        <w:rFonts w:ascii="Open Sans" w:eastAsia="MS Mincho" w:hAnsi="Open Sans" w:cs="Open Sans"/>
        <w:b/>
        <w:color w:val="BD8F2D"/>
        <w:sz w:val="16"/>
        <w:szCs w:val="16"/>
        <w:lang w:val="en-GB"/>
      </w:rPr>
      <w:t>: 116481/B</w:t>
    </w:r>
  </w:p>
  <w:p w14:paraId="3544E273" w14:textId="2FFDD7FE" w:rsidR="00196438" w:rsidRPr="00A41504" w:rsidRDefault="00196438" w:rsidP="00196438">
    <w:pPr>
      <w:pStyle w:val="Pta"/>
      <w:tabs>
        <w:tab w:val="clear" w:pos="4536"/>
        <w:tab w:val="clear" w:pos="9072"/>
        <w:tab w:val="left" w:pos="3840"/>
      </w:tabs>
      <w:jc w:val="center"/>
      <w:rPr>
        <w:rFonts w:ascii="Open Sans" w:eastAsia="MS Mincho" w:hAnsi="Open Sans" w:cs="Open Sans"/>
        <w:b/>
        <w:color w:val="BD8F2D"/>
        <w:sz w:val="16"/>
        <w:szCs w:val="16"/>
        <w:lang w:val="en-GB"/>
      </w:rPr>
    </w:pPr>
  </w:p>
  <w:p w14:paraId="5FA23079" w14:textId="382FDAD6" w:rsidR="00196438" w:rsidRPr="00196438" w:rsidRDefault="00196438" w:rsidP="00196438">
    <w:pPr>
      <w:pStyle w:val="Pta"/>
      <w:tabs>
        <w:tab w:val="clear" w:pos="4536"/>
        <w:tab w:val="clear" w:pos="9072"/>
      </w:tabs>
      <w:jc w:val="center"/>
      <w:rPr>
        <w:b/>
        <w:sz w:val="16"/>
        <w:szCs w:val="16"/>
      </w:rPr>
    </w:pPr>
    <w:r w:rsidRPr="00A41504">
      <w:rPr>
        <w:rFonts w:ascii="Open Sans" w:eastAsia="MS Mincho" w:hAnsi="Open Sans" w:cs="Open Sans"/>
        <w:b/>
        <w:color w:val="BD8F2D"/>
        <w:sz w:val="16"/>
        <w:szCs w:val="16"/>
        <w:lang w:val="en-GB"/>
      </w:rPr>
      <w:t>webberlegal.sk    |    info@webberlegal.sk    |    0907 208</w:t>
    </w:r>
    <w:r>
      <w:rPr>
        <w:rFonts w:ascii="Open Sans" w:eastAsia="MS Mincho" w:hAnsi="Open Sans" w:cs="Open Sans"/>
        <w:b/>
        <w:color w:val="BD8F2D"/>
        <w:sz w:val="16"/>
        <w:szCs w:val="16"/>
        <w:lang w:val="en-GB"/>
      </w:rPr>
      <w:t> </w:t>
    </w:r>
    <w:r w:rsidRPr="00A41504">
      <w:rPr>
        <w:rFonts w:ascii="Open Sans" w:eastAsia="MS Mincho" w:hAnsi="Open Sans" w:cs="Open Sans"/>
        <w:b/>
        <w:color w:val="BD8F2D"/>
        <w:sz w:val="16"/>
        <w:szCs w:val="16"/>
        <w:lang w:val="en-GB"/>
      </w:rPr>
      <w:t>280</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53F8" w14:textId="77777777" w:rsidR="007E4A56" w:rsidRDefault="007E4A56" w:rsidP="0008305D">
      <w:pPr>
        <w:spacing w:after="0" w:line="240" w:lineRule="auto"/>
      </w:pPr>
      <w:r>
        <w:separator/>
      </w:r>
    </w:p>
  </w:footnote>
  <w:footnote w:type="continuationSeparator" w:id="0">
    <w:p w14:paraId="7CC853F9" w14:textId="77777777" w:rsidR="007E4A56" w:rsidRDefault="007E4A56" w:rsidP="0008305D">
      <w:pPr>
        <w:spacing w:after="0" w:line="240" w:lineRule="auto"/>
      </w:pPr>
      <w:r>
        <w:continuationSeparator/>
      </w:r>
    </w:p>
  </w:footnote>
  <w:footnote w:id="1">
    <w:p w14:paraId="7CC853FC" w14:textId="77777777" w:rsidR="0040770B" w:rsidRPr="00196438" w:rsidRDefault="0040770B"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Článok 267 zmluvy o fungovaní Európskej únie</w:t>
      </w:r>
    </w:p>
  </w:footnote>
  <w:footnote w:id="2">
    <w:p w14:paraId="7CC853FD" w14:textId="77777777" w:rsidR="0040770B" w:rsidRPr="00196438" w:rsidRDefault="0040770B"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155</w:t>
      </w:r>
    </w:p>
  </w:footnote>
  <w:footnote w:id="3">
    <w:p w14:paraId="7CC853FE" w14:textId="77777777" w:rsidR="00D16ACF" w:rsidRPr="00196438" w:rsidRDefault="00D16ACF"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Bod 3 výroku, posledná veta: "</w:t>
      </w:r>
      <w:r w:rsidRPr="00196438">
        <w:rPr>
          <w:rFonts w:ascii="Open Sans" w:hAnsi="Open Sans" w:cs="Open Sans"/>
          <w:i/>
          <w:sz w:val="16"/>
          <w:szCs w:val="16"/>
        </w:rPr>
        <w:t>Tieto ustanovenia v spojení s článkom 22 ods. 1 tejto smernice bránia tomu, aby členský štát stanovil takúto povinnosť vo svojej vnútroštátnej právnej úprave"</w:t>
      </w:r>
      <w:r w:rsidRPr="00196438">
        <w:rPr>
          <w:rFonts w:ascii="Open Sans" w:hAnsi="Open Sans" w:cs="Open Sans"/>
          <w:sz w:val="16"/>
          <w:szCs w:val="16"/>
        </w:rPr>
        <w:t>.</w:t>
      </w:r>
    </w:p>
  </w:footnote>
  <w:footnote w:id="4">
    <w:p w14:paraId="7CC853FF"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článok 10 ods. 2 písm. h) Smernice</w:t>
      </w:r>
    </w:p>
  </w:footnote>
  <w:footnote w:id="5">
    <w:p w14:paraId="7CC85400"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článok 9 ods. 2 písm. k) Zákona účinného v čase uzatvárania Zmlúv</w:t>
      </w:r>
    </w:p>
  </w:footnote>
  <w:footnote w:id="6">
    <w:p w14:paraId="7CC85401" w14:textId="77777777" w:rsidR="00842752" w:rsidRPr="00196438" w:rsidRDefault="00842752"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článok 10 ods. 2 písm. c) Smernice</w:t>
      </w:r>
    </w:p>
  </w:footnote>
  <w:footnote w:id="7">
    <w:p w14:paraId="7CC85402" w14:textId="77777777" w:rsidR="00842752" w:rsidRPr="00196438" w:rsidRDefault="00842752"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článok 9 ods. 2 písm. f) Zákona účinného v čase uzatvárania Zmlúv</w:t>
      </w:r>
    </w:p>
  </w:footnote>
  <w:footnote w:id="8">
    <w:p w14:paraId="7CC85403" w14:textId="77777777" w:rsidR="00842752" w:rsidRPr="00196438" w:rsidRDefault="00842752"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Bod 4 výroku Rozsudku C42/15</w:t>
      </w:r>
    </w:p>
  </w:footnote>
  <w:footnote w:id="9">
    <w:p w14:paraId="7CC85404" w14:textId="77777777" w:rsidR="00842752" w:rsidRPr="00196438" w:rsidRDefault="00842752"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11 ods. 1 Zákona</w:t>
      </w:r>
    </w:p>
  </w:footnote>
  <w:footnote w:id="10">
    <w:p w14:paraId="7CC85405" w14:textId="77777777" w:rsidR="00842752" w:rsidRPr="00196438" w:rsidRDefault="00842752"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Bod 4 výroku Rozsudku C42/15</w:t>
      </w:r>
    </w:p>
  </w:footnote>
  <w:footnote w:id="11">
    <w:p w14:paraId="7CC85406" w14:textId="77777777" w:rsidR="00A477A0" w:rsidRPr="00196438" w:rsidRDefault="00A477A0" w:rsidP="00813CB8">
      <w:pPr>
        <w:pStyle w:val="Textpoznmkypodiarou"/>
        <w:jc w:val="both"/>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Rozsudok Najvyššieho súdu SR </w:t>
      </w:r>
      <w:proofErr w:type="spellStart"/>
      <w:r w:rsidRPr="00196438">
        <w:rPr>
          <w:rFonts w:ascii="Open Sans" w:hAnsi="Open Sans" w:cs="Open Sans"/>
          <w:sz w:val="16"/>
          <w:szCs w:val="16"/>
        </w:rPr>
        <w:t>sp</w:t>
      </w:r>
      <w:proofErr w:type="spellEnd"/>
      <w:r w:rsidRPr="00196438">
        <w:rPr>
          <w:rFonts w:ascii="Open Sans" w:hAnsi="Open Sans" w:cs="Open Sans"/>
          <w:sz w:val="16"/>
          <w:szCs w:val="16"/>
        </w:rPr>
        <w:t>. zn. 7Sžo/61/2015 zo dňa 28. 06. 2016</w:t>
      </w:r>
      <w:r w:rsidR="00813CB8" w:rsidRPr="00196438">
        <w:rPr>
          <w:rFonts w:ascii="Open Sans" w:hAnsi="Open Sans" w:cs="Open Sans"/>
          <w:sz w:val="16"/>
          <w:szCs w:val="16"/>
        </w:rPr>
        <w:t xml:space="preserve">, </w:t>
      </w:r>
      <w:r w:rsidRPr="00196438">
        <w:rPr>
          <w:rFonts w:ascii="Open Sans" w:hAnsi="Open Sans" w:cs="Open Sans"/>
          <w:sz w:val="16"/>
          <w:szCs w:val="16"/>
        </w:rPr>
        <w:t xml:space="preserve">Rozsudok Najvyššieho súdu SR </w:t>
      </w:r>
      <w:proofErr w:type="spellStart"/>
      <w:r w:rsidRPr="00196438">
        <w:rPr>
          <w:rFonts w:ascii="Open Sans" w:hAnsi="Open Sans" w:cs="Open Sans"/>
          <w:sz w:val="16"/>
          <w:szCs w:val="16"/>
        </w:rPr>
        <w:t>sp</w:t>
      </w:r>
      <w:proofErr w:type="spellEnd"/>
      <w:r w:rsidRPr="00196438">
        <w:rPr>
          <w:rFonts w:ascii="Open Sans" w:hAnsi="Open Sans" w:cs="Open Sans"/>
          <w:sz w:val="16"/>
          <w:szCs w:val="16"/>
        </w:rPr>
        <w:t xml:space="preserve">. zn. 3 </w:t>
      </w:r>
      <w:proofErr w:type="spellStart"/>
      <w:r w:rsidRPr="00196438">
        <w:rPr>
          <w:rFonts w:ascii="Open Sans" w:hAnsi="Open Sans" w:cs="Open Sans"/>
          <w:sz w:val="16"/>
          <w:szCs w:val="16"/>
        </w:rPr>
        <w:t>Sžo</w:t>
      </w:r>
      <w:proofErr w:type="spellEnd"/>
      <w:r w:rsidRPr="00196438">
        <w:rPr>
          <w:rFonts w:ascii="Open Sans" w:hAnsi="Open Sans" w:cs="Open Sans"/>
          <w:sz w:val="16"/>
          <w:szCs w:val="16"/>
        </w:rPr>
        <w:t xml:space="preserve"> / 19 /2012 zo dňa 12.03.2013, ktorým potvrdil rozsudok Krajského súdu v Prešov zo dňa 21.02.2012, </w:t>
      </w:r>
      <w:proofErr w:type="spellStart"/>
      <w:r w:rsidRPr="00196438">
        <w:rPr>
          <w:rFonts w:ascii="Open Sans" w:hAnsi="Open Sans" w:cs="Open Sans"/>
          <w:sz w:val="16"/>
          <w:szCs w:val="16"/>
        </w:rPr>
        <w:t>sp</w:t>
      </w:r>
      <w:proofErr w:type="spellEnd"/>
      <w:r w:rsidRPr="00196438">
        <w:rPr>
          <w:rFonts w:ascii="Open Sans" w:hAnsi="Open Sans" w:cs="Open Sans"/>
          <w:sz w:val="16"/>
          <w:szCs w:val="16"/>
        </w:rPr>
        <w:t>. zn. 3S/53/2011-43</w:t>
      </w:r>
      <w:r w:rsidR="008B0CCB" w:rsidRPr="00196438">
        <w:rPr>
          <w:rFonts w:ascii="Open Sans" w:hAnsi="Open Sans" w:cs="Open Sans"/>
          <w:sz w:val="16"/>
          <w:szCs w:val="16"/>
        </w:rPr>
        <w:t xml:space="preserve">, </w:t>
      </w:r>
      <w:r w:rsidR="00813CB8" w:rsidRPr="00196438">
        <w:rPr>
          <w:rFonts w:ascii="Open Sans" w:hAnsi="Open Sans" w:cs="Open Sans"/>
          <w:sz w:val="16"/>
          <w:szCs w:val="16"/>
        </w:rPr>
        <w:t xml:space="preserve">Rozsudok Krajského súdu Trnava zo dňa 22.10.2014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24Co/228/2014, Rozsudok Krajského súdu Banská Bystrica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w:t>
      </w:r>
      <w:proofErr w:type="spellStart"/>
      <w:r w:rsidR="00813CB8" w:rsidRPr="00196438">
        <w:rPr>
          <w:rFonts w:ascii="Open Sans" w:hAnsi="Open Sans" w:cs="Open Sans"/>
          <w:sz w:val="16"/>
          <w:szCs w:val="16"/>
        </w:rPr>
        <w:t>sz</w:t>
      </w:r>
      <w:proofErr w:type="spellEnd"/>
      <w:r w:rsidR="00813CB8" w:rsidRPr="00196438">
        <w:rPr>
          <w:rFonts w:ascii="Open Sans" w:hAnsi="Open Sans" w:cs="Open Sans"/>
          <w:sz w:val="16"/>
          <w:szCs w:val="16"/>
        </w:rPr>
        <w:t xml:space="preserve">. 14Co/692/2015 zo dňa 31.05.2016, Rozsudok Krajského súdu Žilina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11Co/127/2015 zo dňa 20. 04. 2015, rozsudok Krajského súdu Prešov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1S/108/2011 zo dňa 16.01.2014, Rozsudok Krajského súdu Košice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11Co/11/2015 zo dňa 25. 08. 2016, Rozsudok Krajského súdu v Nitre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25Co/396/2013 zo dňa 12.02.2014; Rozsudok Krajského súdu Trenčín zo dňa </w:t>
      </w:r>
      <w:proofErr w:type="spellStart"/>
      <w:r w:rsidR="00813CB8" w:rsidRPr="00196438">
        <w:rPr>
          <w:rFonts w:ascii="Open Sans" w:hAnsi="Open Sans" w:cs="Open Sans"/>
          <w:sz w:val="16"/>
          <w:szCs w:val="16"/>
        </w:rPr>
        <w:t>sp</w:t>
      </w:r>
      <w:proofErr w:type="spellEnd"/>
      <w:r w:rsidR="00813CB8" w:rsidRPr="00196438">
        <w:rPr>
          <w:rFonts w:ascii="Open Sans" w:hAnsi="Open Sans" w:cs="Open Sans"/>
          <w:sz w:val="16"/>
          <w:szCs w:val="16"/>
        </w:rPr>
        <w:t xml:space="preserve">. zn. 19Co/594/2015 zo dňa 25. 08. 2016, </w:t>
      </w:r>
      <w:r w:rsidR="008B0CCB" w:rsidRPr="00196438">
        <w:rPr>
          <w:rFonts w:ascii="Open Sans" w:hAnsi="Open Sans" w:cs="Open Sans"/>
          <w:sz w:val="16"/>
          <w:szCs w:val="16"/>
        </w:rPr>
        <w:t>desiatky rozsudkov krajských súdov a stovky rozsudkov okresných súdov</w:t>
      </w:r>
    </w:p>
  </w:footnote>
  <w:footnote w:id="12">
    <w:p w14:paraId="7CC85407" w14:textId="77777777" w:rsidR="00EB3658" w:rsidRPr="00196438" w:rsidRDefault="00EB3658"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článok 288 Zmluvy o fungovaní Európskej únie</w:t>
      </w:r>
    </w:p>
  </w:footnote>
  <w:footnote w:id="13">
    <w:p w14:paraId="7CC85408" w14:textId="77777777" w:rsidR="00EB3658" w:rsidRPr="00196438" w:rsidRDefault="00EB3658"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bod 48. rozsudku Súdneho dvora EÚ vo veci </w:t>
      </w:r>
      <w:proofErr w:type="spellStart"/>
      <w:r w:rsidRPr="00196438">
        <w:rPr>
          <w:rFonts w:ascii="Open Sans" w:hAnsi="Open Sans" w:cs="Open Sans"/>
          <w:sz w:val="16"/>
          <w:szCs w:val="16"/>
        </w:rPr>
        <w:t>Marshall</w:t>
      </w:r>
      <w:proofErr w:type="spellEnd"/>
      <w:r w:rsidRPr="00196438">
        <w:rPr>
          <w:rFonts w:ascii="Open Sans" w:hAnsi="Open Sans" w:cs="Open Sans"/>
          <w:sz w:val="16"/>
          <w:szCs w:val="16"/>
        </w:rPr>
        <w:t>, C-152/84, rozsudok zo dňa 26.2.1986</w:t>
      </w:r>
    </w:p>
  </w:footnote>
  <w:footnote w:id="14">
    <w:p w14:paraId="7CC85409" w14:textId="77777777" w:rsidR="00EB3658" w:rsidRPr="00196438" w:rsidRDefault="00EB3658"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bod 20. rozsudku Súdneho dvora EÚ vo veci </w:t>
      </w:r>
      <w:proofErr w:type="spellStart"/>
      <w:r w:rsidRPr="00196438">
        <w:rPr>
          <w:rFonts w:ascii="Open Sans" w:hAnsi="Open Sans" w:cs="Open Sans"/>
          <w:sz w:val="16"/>
          <w:szCs w:val="16"/>
        </w:rPr>
        <w:t>Faccini</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Dori</w:t>
      </w:r>
      <w:proofErr w:type="spellEnd"/>
      <w:r w:rsidRPr="00196438">
        <w:rPr>
          <w:rFonts w:ascii="Open Sans" w:hAnsi="Open Sans" w:cs="Open Sans"/>
          <w:sz w:val="16"/>
          <w:szCs w:val="16"/>
        </w:rPr>
        <w:t>, C-91/92, rozsudok zo dňa 14.7.1994</w:t>
      </w:r>
    </w:p>
  </w:footnote>
  <w:footnote w:id="15">
    <w:p w14:paraId="7CC8540A" w14:textId="77777777" w:rsidR="00EB3658" w:rsidRPr="00196438" w:rsidRDefault="00EB3658"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bod 109 rozsudku Súdneho dvora EÚ vo veci </w:t>
      </w:r>
      <w:proofErr w:type="spellStart"/>
      <w:r w:rsidRPr="00196438">
        <w:rPr>
          <w:rFonts w:ascii="Open Sans" w:hAnsi="Open Sans" w:cs="Open Sans"/>
          <w:sz w:val="16"/>
          <w:szCs w:val="16"/>
        </w:rPr>
        <w:t>Pfeiffer</w:t>
      </w:r>
      <w:proofErr w:type="spellEnd"/>
      <w:r w:rsidRPr="00196438">
        <w:rPr>
          <w:rFonts w:ascii="Open Sans" w:hAnsi="Open Sans" w:cs="Open Sans"/>
          <w:sz w:val="16"/>
          <w:szCs w:val="16"/>
        </w:rPr>
        <w:t>, C-397/01 až C-403/01, rozsudok zo dňa 05.10.2004</w:t>
      </w:r>
    </w:p>
  </w:footnote>
  <w:footnote w:id="16">
    <w:p w14:paraId="7CC8540B"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101-102</w:t>
      </w:r>
    </w:p>
  </w:footnote>
  <w:footnote w:id="17">
    <w:p w14:paraId="7CC8540C"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161-162</w:t>
      </w:r>
    </w:p>
  </w:footnote>
  <w:footnote w:id="18">
    <w:p w14:paraId="7CC8540D"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162</w:t>
      </w:r>
    </w:p>
  </w:footnote>
  <w:footnote w:id="19">
    <w:p w14:paraId="7CC8540E"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162</w:t>
      </w:r>
    </w:p>
  </w:footnote>
  <w:footnote w:id="20">
    <w:p w14:paraId="7CC8540F"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165-166</w:t>
      </w:r>
    </w:p>
  </w:footnote>
  <w:footnote w:id="21">
    <w:p w14:paraId="7CC85410"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165</w:t>
      </w:r>
    </w:p>
  </w:footnote>
  <w:footnote w:id="22">
    <w:p w14:paraId="7CC85411" w14:textId="77777777" w:rsidR="00704B68" w:rsidRPr="00196438" w:rsidRDefault="00704B68" w:rsidP="00704B6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proofErr w:type="spellStart"/>
      <w:r w:rsidRPr="00196438">
        <w:rPr>
          <w:rFonts w:ascii="Open Sans" w:hAnsi="Open Sans" w:cs="Open Sans"/>
          <w:sz w:val="16"/>
          <w:szCs w:val="16"/>
        </w:rPr>
        <w:t>Adeneler</w:t>
      </w:r>
      <w:proofErr w:type="spellEnd"/>
      <w:r w:rsidRPr="00196438">
        <w:rPr>
          <w:rFonts w:ascii="Open Sans" w:hAnsi="Open Sans" w:cs="Open Sans"/>
          <w:sz w:val="16"/>
          <w:szCs w:val="16"/>
        </w:rPr>
        <w:t>, C-212/04, Rozsudok Súdneho dvora EÚ zo 4. júla 2006, bod 110</w:t>
      </w:r>
    </w:p>
  </w:footnote>
  <w:footnote w:id="23">
    <w:p w14:paraId="7CC85412"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152 - 153</w:t>
      </w:r>
    </w:p>
  </w:footnote>
  <w:footnote w:id="24">
    <w:p w14:paraId="7CC85413"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153</w:t>
      </w:r>
    </w:p>
  </w:footnote>
  <w:footnote w:id="25">
    <w:p w14:paraId="7CC85414"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153</w:t>
      </w:r>
    </w:p>
  </w:footnote>
  <w:footnote w:id="26">
    <w:p w14:paraId="7CC85415"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154</w:t>
      </w:r>
    </w:p>
  </w:footnote>
  <w:footnote w:id="27">
    <w:p w14:paraId="7CC85416"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154 - 155</w:t>
      </w:r>
    </w:p>
  </w:footnote>
  <w:footnote w:id="28">
    <w:p w14:paraId="7CC85417" w14:textId="77777777" w:rsidR="008C3E35" w:rsidRPr="00196438" w:rsidRDefault="008C3E35" w:rsidP="00EB3658">
      <w:pPr>
        <w:pStyle w:val="Textpoznmkypodiarou"/>
        <w:rPr>
          <w:rFonts w:ascii="Open Sans" w:hAnsi="Open Sans" w:cs="Open Sans"/>
          <w:sz w:val="16"/>
          <w:szCs w:val="16"/>
        </w:rPr>
      </w:pPr>
      <w:r w:rsidRPr="00196438">
        <w:rPr>
          <w:rStyle w:val="Odkaznapoznmkupodiarou"/>
          <w:rFonts w:ascii="Open Sans" w:hAnsi="Open Sans" w:cs="Open Sans"/>
          <w:sz w:val="16"/>
          <w:szCs w:val="16"/>
        </w:rPr>
        <w:footnoteRef/>
      </w:r>
      <w:r w:rsidRPr="00196438">
        <w:rPr>
          <w:rFonts w:ascii="Open Sans" w:hAnsi="Open Sans" w:cs="Open Sans"/>
          <w:sz w:val="16"/>
          <w:szCs w:val="16"/>
        </w:rPr>
        <w:t xml:space="preserve"> </w:t>
      </w:r>
      <w:r w:rsidRPr="00196438">
        <w:rPr>
          <w:rFonts w:ascii="Open Sans" w:hAnsi="Open Sans" w:cs="Open Sans"/>
          <w:sz w:val="16"/>
          <w:szCs w:val="16"/>
        </w:rPr>
        <w:t xml:space="preserve">M. Bobek, P. </w:t>
      </w:r>
      <w:proofErr w:type="spellStart"/>
      <w:r w:rsidRPr="00196438">
        <w:rPr>
          <w:rFonts w:ascii="Open Sans" w:hAnsi="Open Sans" w:cs="Open Sans"/>
          <w:sz w:val="16"/>
          <w:szCs w:val="16"/>
        </w:rPr>
        <w:t>Bříza</w:t>
      </w:r>
      <w:proofErr w:type="spellEnd"/>
      <w:r w:rsidRPr="00196438">
        <w:rPr>
          <w:rFonts w:ascii="Open Sans" w:hAnsi="Open Sans" w:cs="Open Sans"/>
          <w:sz w:val="16"/>
          <w:szCs w:val="16"/>
        </w:rPr>
        <w:t xml:space="preserve">, j. </w:t>
      </w:r>
      <w:proofErr w:type="spellStart"/>
      <w:r w:rsidRPr="00196438">
        <w:rPr>
          <w:rFonts w:ascii="Open Sans" w:hAnsi="Open Sans" w:cs="Open Sans"/>
          <w:sz w:val="16"/>
          <w:szCs w:val="16"/>
        </w:rPr>
        <w:t>Komárek</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Vnitrostátní</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aplikace</w:t>
      </w:r>
      <w:proofErr w:type="spellEnd"/>
      <w:r w:rsidRPr="00196438">
        <w:rPr>
          <w:rFonts w:ascii="Open Sans" w:hAnsi="Open Sans" w:cs="Open Sans"/>
          <w:sz w:val="16"/>
          <w:szCs w:val="16"/>
        </w:rPr>
        <w:t xml:space="preserve"> práva </w:t>
      </w:r>
      <w:proofErr w:type="spellStart"/>
      <w:r w:rsidRPr="00196438">
        <w:rPr>
          <w:rFonts w:ascii="Open Sans" w:hAnsi="Open Sans" w:cs="Open Sans"/>
          <w:sz w:val="16"/>
          <w:szCs w:val="16"/>
        </w:rPr>
        <w:t>Evropské</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unie</w:t>
      </w:r>
      <w:proofErr w:type="spellEnd"/>
      <w:r w:rsidRPr="00196438">
        <w:rPr>
          <w:rFonts w:ascii="Open Sans" w:hAnsi="Open Sans" w:cs="Open Sans"/>
          <w:sz w:val="16"/>
          <w:szCs w:val="16"/>
        </w:rPr>
        <w:t xml:space="preserve">, </w:t>
      </w:r>
      <w:proofErr w:type="spellStart"/>
      <w:r w:rsidRPr="00196438">
        <w:rPr>
          <w:rFonts w:ascii="Open Sans" w:hAnsi="Open Sans" w:cs="Open Sans"/>
          <w:sz w:val="16"/>
          <w:szCs w:val="16"/>
        </w:rPr>
        <w:t>C.H.Beck</w:t>
      </w:r>
      <w:proofErr w:type="spellEnd"/>
      <w:r w:rsidRPr="00196438">
        <w:rPr>
          <w:rFonts w:ascii="Open Sans" w:hAnsi="Open Sans" w:cs="Open Sans"/>
          <w:sz w:val="16"/>
          <w:szCs w:val="16"/>
        </w:rPr>
        <w:t>, 2011, str. 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BB18" w14:textId="6FE2A5FE" w:rsidR="00196438" w:rsidRDefault="00196438" w:rsidP="00196438">
    <w:pPr>
      <w:pStyle w:val="Hlavika"/>
      <w:jc w:val="center"/>
    </w:pPr>
    <w:r w:rsidRPr="008021BC">
      <w:rPr>
        <w:noProof/>
      </w:rPr>
      <w:drawing>
        <wp:inline distT="0" distB="0" distL="0" distR="0" wp14:anchorId="7AD4472C" wp14:editId="4F28EB96">
          <wp:extent cx="3232785" cy="8020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785" cy="80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0344"/>
    <w:multiLevelType w:val="hybridMultilevel"/>
    <w:tmpl w:val="E7540074"/>
    <w:lvl w:ilvl="0" w:tplc="041B000F">
      <w:start w:val="1"/>
      <w:numFmt w:val="decimal"/>
      <w:lvlText w:val="%1."/>
      <w:lvlJc w:val="left"/>
      <w:pPr>
        <w:ind w:left="720" w:hanging="360"/>
      </w:pPr>
    </w:lvl>
    <w:lvl w:ilvl="1" w:tplc="AFA01A20">
      <w:numFmt w:val="bullet"/>
      <w:lvlText w:val="–"/>
      <w:lvlJc w:val="left"/>
      <w:pPr>
        <w:ind w:left="1665" w:hanging="585"/>
      </w:pPr>
      <w:rPr>
        <w:rFonts w:ascii="Arial" w:eastAsiaTheme="minorHAnsi"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E72D89"/>
    <w:multiLevelType w:val="hybridMultilevel"/>
    <w:tmpl w:val="873C6C04"/>
    <w:lvl w:ilvl="0" w:tplc="9AB80F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5B5557"/>
    <w:multiLevelType w:val="hybridMultilevel"/>
    <w:tmpl w:val="6242F842"/>
    <w:lvl w:ilvl="0" w:tplc="9AB80F2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3CC5180B"/>
    <w:multiLevelType w:val="hybridMultilevel"/>
    <w:tmpl w:val="E7540074"/>
    <w:lvl w:ilvl="0" w:tplc="041B000F">
      <w:start w:val="1"/>
      <w:numFmt w:val="decimal"/>
      <w:lvlText w:val="%1."/>
      <w:lvlJc w:val="left"/>
      <w:pPr>
        <w:ind w:left="720" w:hanging="360"/>
      </w:pPr>
    </w:lvl>
    <w:lvl w:ilvl="1" w:tplc="AFA01A20">
      <w:numFmt w:val="bullet"/>
      <w:lvlText w:val="–"/>
      <w:lvlJc w:val="left"/>
      <w:pPr>
        <w:ind w:left="1665" w:hanging="585"/>
      </w:pPr>
      <w:rPr>
        <w:rFonts w:ascii="Arial" w:eastAsiaTheme="minorHAnsi"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7565BE"/>
    <w:multiLevelType w:val="hybridMultilevel"/>
    <w:tmpl w:val="E138B2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080481"/>
    <w:multiLevelType w:val="hybridMultilevel"/>
    <w:tmpl w:val="B602EC3C"/>
    <w:lvl w:ilvl="0" w:tplc="041B001B">
      <w:start w:val="1"/>
      <w:numFmt w:val="lowerRoman"/>
      <w:lvlText w:val="%1."/>
      <w:lvlJc w:val="right"/>
      <w:pPr>
        <w:ind w:left="1440" w:hanging="360"/>
      </w:pPr>
    </w:lvl>
    <w:lvl w:ilvl="1" w:tplc="58A2BDD4">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52491138"/>
    <w:multiLevelType w:val="hybridMultilevel"/>
    <w:tmpl w:val="3A16F052"/>
    <w:lvl w:ilvl="0" w:tplc="9AB80F26">
      <w:start w:val="1"/>
      <w:numFmt w:val="bullet"/>
      <w:lvlText w:val=""/>
      <w:lvlJc w:val="left"/>
      <w:pPr>
        <w:ind w:left="1440" w:hanging="360"/>
      </w:pPr>
      <w:rPr>
        <w:rFonts w:ascii="Symbol" w:hAnsi="Symbol" w:hint="default"/>
      </w:rPr>
    </w:lvl>
    <w:lvl w:ilvl="1" w:tplc="9AB80F26">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526D764A"/>
    <w:multiLevelType w:val="hybridMultilevel"/>
    <w:tmpl w:val="702E08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6D25870"/>
    <w:multiLevelType w:val="hybridMultilevel"/>
    <w:tmpl w:val="A6EADABC"/>
    <w:lvl w:ilvl="0" w:tplc="EA74EF2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6A0"/>
    <w:rsid w:val="000007B0"/>
    <w:rsid w:val="000025EA"/>
    <w:rsid w:val="0005729C"/>
    <w:rsid w:val="0008305D"/>
    <w:rsid w:val="000B04A1"/>
    <w:rsid w:val="000E5CAC"/>
    <w:rsid w:val="001030A7"/>
    <w:rsid w:val="0012189A"/>
    <w:rsid w:val="00196438"/>
    <w:rsid w:val="001A1808"/>
    <w:rsid w:val="001A2EE2"/>
    <w:rsid w:val="001A5F00"/>
    <w:rsid w:val="002456A0"/>
    <w:rsid w:val="002F0A8B"/>
    <w:rsid w:val="00305878"/>
    <w:rsid w:val="00342800"/>
    <w:rsid w:val="003F1722"/>
    <w:rsid w:val="0040770B"/>
    <w:rsid w:val="00447706"/>
    <w:rsid w:val="0047339A"/>
    <w:rsid w:val="00490F53"/>
    <w:rsid w:val="004D7CB3"/>
    <w:rsid w:val="004E1DCF"/>
    <w:rsid w:val="004F0D4B"/>
    <w:rsid w:val="0055651B"/>
    <w:rsid w:val="005D254A"/>
    <w:rsid w:val="005D39A2"/>
    <w:rsid w:val="0065262B"/>
    <w:rsid w:val="006A5E1D"/>
    <w:rsid w:val="00704B68"/>
    <w:rsid w:val="00751FF6"/>
    <w:rsid w:val="00764AC9"/>
    <w:rsid w:val="00765106"/>
    <w:rsid w:val="00772A82"/>
    <w:rsid w:val="00796F3B"/>
    <w:rsid w:val="007E2169"/>
    <w:rsid w:val="007E4A56"/>
    <w:rsid w:val="007F24EE"/>
    <w:rsid w:val="007F5DC5"/>
    <w:rsid w:val="00813CB8"/>
    <w:rsid w:val="00842752"/>
    <w:rsid w:val="008431DA"/>
    <w:rsid w:val="008501CE"/>
    <w:rsid w:val="008A5AFF"/>
    <w:rsid w:val="008B0CCB"/>
    <w:rsid w:val="008C3E35"/>
    <w:rsid w:val="009061E9"/>
    <w:rsid w:val="00923C5D"/>
    <w:rsid w:val="0094028D"/>
    <w:rsid w:val="009B7BA6"/>
    <w:rsid w:val="009E091C"/>
    <w:rsid w:val="00A2054F"/>
    <w:rsid w:val="00A477A0"/>
    <w:rsid w:val="00A97FAF"/>
    <w:rsid w:val="00B8177B"/>
    <w:rsid w:val="00BC7BE2"/>
    <w:rsid w:val="00BD1B11"/>
    <w:rsid w:val="00CC1BC9"/>
    <w:rsid w:val="00CD0354"/>
    <w:rsid w:val="00D0750E"/>
    <w:rsid w:val="00D16ACF"/>
    <w:rsid w:val="00D368F3"/>
    <w:rsid w:val="00D41108"/>
    <w:rsid w:val="00D97032"/>
    <w:rsid w:val="00DC2388"/>
    <w:rsid w:val="00E15376"/>
    <w:rsid w:val="00E17B15"/>
    <w:rsid w:val="00E93394"/>
    <w:rsid w:val="00EB3658"/>
    <w:rsid w:val="00ED5725"/>
    <w:rsid w:val="00F17776"/>
    <w:rsid w:val="00FF4A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5328"/>
  <w15:docId w15:val="{80B6FF01-1A1B-4E89-8364-0CB078A4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427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0830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8305D"/>
    <w:rPr>
      <w:sz w:val="20"/>
      <w:szCs w:val="20"/>
    </w:rPr>
  </w:style>
  <w:style w:type="character" w:styleId="Odkaznapoznmkupodiarou">
    <w:name w:val="footnote reference"/>
    <w:basedOn w:val="Predvolenpsmoodseku"/>
    <w:semiHidden/>
    <w:unhideWhenUsed/>
    <w:rsid w:val="0008305D"/>
    <w:rPr>
      <w:vertAlign w:val="superscript"/>
    </w:rPr>
  </w:style>
  <w:style w:type="paragraph" w:styleId="Odsekzoznamu">
    <w:name w:val="List Paragraph"/>
    <w:basedOn w:val="Normlny"/>
    <w:uiPriority w:val="34"/>
    <w:qFormat/>
    <w:rsid w:val="0008305D"/>
    <w:pPr>
      <w:ind w:left="720"/>
      <w:contextualSpacing/>
    </w:pPr>
  </w:style>
  <w:style w:type="character" w:styleId="Odkaznakomentr">
    <w:name w:val="annotation reference"/>
    <w:basedOn w:val="Predvolenpsmoodseku"/>
    <w:uiPriority w:val="99"/>
    <w:semiHidden/>
    <w:unhideWhenUsed/>
    <w:rsid w:val="00D16ACF"/>
    <w:rPr>
      <w:sz w:val="16"/>
      <w:szCs w:val="16"/>
    </w:rPr>
  </w:style>
  <w:style w:type="paragraph" w:styleId="Textkomentra">
    <w:name w:val="annotation text"/>
    <w:basedOn w:val="Normlny"/>
    <w:link w:val="TextkomentraChar"/>
    <w:uiPriority w:val="99"/>
    <w:semiHidden/>
    <w:unhideWhenUsed/>
    <w:rsid w:val="00D16ACF"/>
    <w:pPr>
      <w:spacing w:line="240" w:lineRule="auto"/>
    </w:pPr>
    <w:rPr>
      <w:sz w:val="20"/>
      <w:szCs w:val="20"/>
    </w:rPr>
  </w:style>
  <w:style w:type="character" w:customStyle="1" w:styleId="TextkomentraChar">
    <w:name w:val="Text komentára Char"/>
    <w:basedOn w:val="Predvolenpsmoodseku"/>
    <w:link w:val="Textkomentra"/>
    <w:uiPriority w:val="99"/>
    <w:semiHidden/>
    <w:rsid w:val="00D16ACF"/>
    <w:rPr>
      <w:sz w:val="20"/>
      <w:szCs w:val="20"/>
    </w:rPr>
  </w:style>
  <w:style w:type="paragraph" w:styleId="Predmetkomentra">
    <w:name w:val="annotation subject"/>
    <w:basedOn w:val="Textkomentra"/>
    <w:next w:val="Textkomentra"/>
    <w:link w:val="PredmetkomentraChar"/>
    <w:uiPriority w:val="99"/>
    <w:semiHidden/>
    <w:unhideWhenUsed/>
    <w:rsid w:val="00D16ACF"/>
    <w:rPr>
      <w:b/>
      <w:bCs/>
    </w:rPr>
  </w:style>
  <w:style w:type="character" w:customStyle="1" w:styleId="PredmetkomentraChar">
    <w:name w:val="Predmet komentára Char"/>
    <w:basedOn w:val="TextkomentraChar"/>
    <w:link w:val="Predmetkomentra"/>
    <w:uiPriority w:val="99"/>
    <w:semiHidden/>
    <w:rsid w:val="00D16ACF"/>
    <w:rPr>
      <w:b/>
      <w:bCs/>
      <w:sz w:val="20"/>
      <w:szCs w:val="20"/>
    </w:rPr>
  </w:style>
  <w:style w:type="paragraph" w:styleId="Textbubliny">
    <w:name w:val="Balloon Text"/>
    <w:basedOn w:val="Normlny"/>
    <w:link w:val="TextbublinyChar"/>
    <w:uiPriority w:val="99"/>
    <w:semiHidden/>
    <w:unhideWhenUsed/>
    <w:rsid w:val="00D16A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6ACF"/>
    <w:rPr>
      <w:rFonts w:ascii="Tahoma" w:hAnsi="Tahoma" w:cs="Tahoma"/>
      <w:sz w:val="16"/>
      <w:szCs w:val="16"/>
    </w:rPr>
  </w:style>
  <w:style w:type="paragraph" w:styleId="Hlavika">
    <w:name w:val="header"/>
    <w:basedOn w:val="Normlny"/>
    <w:link w:val="HlavikaChar"/>
    <w:uiPriority w:val="99"/>
    <w:unhideWhenUsed/>
    <w:rsid w:val="001964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438"/>
  </w:style>
  <w:style w:type="paragraph" w:styleId="Pta">
    <w:name w:val="footer"/>
    <w:basedOn w:val="Normlny"/>
    <w:link w:val="PtaChar"/>
    <w:uiPriority w:val="99"/>
    <w:unhideWhenUsed/>
    <w:rsid w:val="00196438"/>
    <w:pPr>
      <w:tabs>
        <w:tab w:val="center" w:pos="4536"/>
        <w:tab w:val="right" w:pos="9072"/>
      </w:tabs>
      <w:spacing w:after="0" w:line="240" w:lineRule="auto"/>
    </w:pPr>
  </w:style>
  <w:style w:type="character" w:customStyle="1" w:styleId="PtaChar">
    <w:name w:val="Päta Char"/>
    <w:basedOn w:val="Predvolenpsmoodseku"/>
    <w:link w:val="Pta"/>
    <w:uiPriority w:val="99"/>
    <w:rsid w:val="0019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1839">
      <w:bodyDiv w:val="1"/>
      <w:marLeft w:val="0"/>
      <w:marRight w:val="0"/>
      <w:marTop w:val="0"/>
      <w:marBottom w:val="0"/>
      <w:divBdr>
        <w:top w:val="none" w:sz="0" w:space="0" w:color="auto"/>
        <w:left w:val="none" w:sz="0" w:space="0" w:color="auto"/>
        <w:bottom w:val="none" w:sz="0" w:space="0" w:color="auto"/>
        <w:right w:val="none" w:sz="0" w:space="0" w:color="auto"/>
      </w:divBdr>
    </w:div>
    <w:div w:id="458768016">
      <w:bodyDiv w:val="1"/>
      <w:marLeft w:val="0"/>
      <w:marRight w:val="0"/>
      <w:marTop w:val="0"/>
      <w:marBottom w:val="0"/>
      <w:divBdr>
        <w:top w:val="none" w:sz="0" w:space="0" w:color="auto"/>
        <w:left w:val="none" w:sz="0" w:space="0" w:color="auto"/>
        <w:bottom w:val="none" w:sz="0" w:space="0" w:color="auto"/>
        <w:right w:val="none" w:sz="0" w:space="0" w:color="auto"/>
      </w:divBdr>
    </w:div>
    <w:div w:id="555361173">
      <w:bodyDiv w:val="1"/>
      <w:marLeft w:val="0"/>
      <w:marRight w:val="0"/>
      <w:marTop w:val="0"/>
      <w:marBottom w:val="0"/>
      <w:divBdr>
        <w:top w:val="none" w:sz="0" w:space="0" w:color="auto"/>
        <w:left w:val="none" w:sz="0" w:space="0" w:color="auto"/>
        <w:bottom w:val="none" w:sz="0" w:space="0" w:color="auto"/>
        <w:right w:val="none" w:sz="0" w:space="0" w:color="auto"/>
      </w:divBdr>
    </w:div>
    <w:div w:id="708920267">
      <w:bodyDiv w:val="1"/>
      <w:marLeft w:val="0"/>
      <w:marRight w:val="0"/>
      <w:marTop w:val="0"/>
      <w:marBottom w:val="0"/>
      <w:divBdr>
        <w:top w:val="none" w:sz="0" w:space="0" w:color="auto"/>
        <w:left w:val="none" w:sz="0" w:space="0" w:color="auto"/>
        <w:bottom w:val="none" w:sz="0" w:space="0" w:color="auto"/>
        <w:right w:val="none" w:sz="0" w:space="0" w:color="auto"/>
      </w:divBdr>
    </w:div>
    <w:div w:id="836964026">
      <w:bodyDiv w:val="1"/>
      <w:marLeft w:val="0"/>
      <w:marRight w:val="0"/>
      <w:marTop w:val="0"/>
      <w:marBottom w:val="0"/>
      <w:divBdr>
        <w:top w:val="none" w:sz="0" w:space="0" w:color="auto"/>
        <w:left w:val="none" w:sz="0" w:space="0" w:color="auto"/>
        <w:bottom w:val="none" w:sz="0" w:space="0" w:color="auto"/>
        <w:right w:val="none" w:sz="0" w:space="0" w:color="auto"/>
      </w:divBdr>
    </w:div>
    <w:div w:id="1741638133">
      <w:bodyDiv w:val="1"/>
      <w:marLeft w:val="0"/>
      <w:marRight w:val="0"/>
      <w:marTop w:val="0"/>
      <w:marBottom w:val="0"/>
      <w:divBdr>
        <w:top w:val="none" w:sz="0" w:space="0" w:color="auto"/>
        <w:left w:val="none" w:sz="0" w:space="0" w:color="auto"/>
        <w:bottom w:val="none" w:sz="0" w:space="0" w:color="auto"/>
        <w:right w:val="none" w:sz="0" w:space="0" w:color="auto"/>
      </w:divBdr>
    </w:div>
    <w:div w:id="18987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68DEB-3A50-4F65-82A7-396207C2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5977</Words>
  <Characters>34072</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Anton Pavúk</cp:lastModifiedBy>
  <cp:revision>2</cp:revision>
  <dcterms:created xsi:type="dcterms:W3CDTF">2017-11-02T13:24:00Z</dcterms:created>
  <dcterms:modified xsi:type="dcterms:W3CDTF">2017-11-02T13:24:00Z</dcterms:modified>
</cp:coreProperties>
</file>